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297D86" w14:textId="7A2F66D4" w:rsidR="002B2DD2" w:rsidRDefault="002B2DD2" w:rsidP="00E76D26">
      <w:pPr>
        <w:rPr>
          <w:sz w:val="18"/>
        </w:rPr>
      </w:pPr>
    </w:p>
    <w:p w14:paraId="3EEB468C" w14:textId="70F6C5D6" w:rsidR="002B2DD2" w:rsidRPr="00195D0C" w:rsidRDefault="002B2DD2" w:rsidP="002B2DD2">
      <w:pPr>
        <w:pStyle w:val="tytuinformacji"/>
        <w:suppressAutoHyphens/>
        <w:rPr>
          <w:shd w:val="clear" w:color="auto" w:fill="FFFFFF"/>
        </w:rPr>
      </w:pPr>
      <w:r w:rsidRPr="00195D0C">
        <w:rPr>
          <w:shd w:val="clear" w:color="auto" w:fill="FFFFFF"/>
        </w:rPr>
        <w:t xml:space="preserve">Informacja o wstępnych wynikach Powszechnego Spisu Rolnego 2020  </w:t>
      </w:r>
    </w:p>
    <w:p w14:paraId="62FE40D3" w14:textId="1C73B687" w:rsidR="002B2DD2" w:rsidRPr="00195D0C" w:rsidRDefault="002B2DD2" w:rsidP="002B2DD2">
      <w:pPr>
        <w:pStyle w:val="tytuinformacji"/>
        <w:rPr>
          <w:sz w:val="32"/>
        </w:rPr>
      </w:pPr>
    </w:p>
    <w:p w14:paraId="4F09C1EF" w14:textId="3A535799" w:rsidR="002B2DD2" w:rsidRDefault="002B2DD2" w:rsidP="002B2DD2">
      <w:pPr>
        <w:spacing w:beforeLines="120" w:before="288" w:afterLines="120" w:after="288"/>
        <w:ind w:left="2705"/>
        <w:rPr>
          <w:b/>
          <w:szCs w:val="19"/>
        </w:rPr>
      </w:pPr>
      <w:r w:rsidRPr="00A971E5">
        <w:rPr>
          <w:noProof/>
          <w:color w:val="FF0000"/>
          <w:lang w:eastAsia="pl-PL"/>
        </w:rPr>
        <mc:AlternateContent>
          <mc:Choice Requires="wps">
            <w:drawing>
              <wp:anchor distT="0" distB="0" distL="114300" distR="114300" simplePos="0" relativeHeight="251739136" behindDoc="1" locked="0" layoutInCell="1" allowOverlap="1" wp14:anchorId="10E39D02" wp14:editId="68FF4EE3">
                <wp:simplePos x="0" y="0"/>
                <wp:positionH relativeFrom="column">
                  <wp:posOffset>98425</wp:posOffset>
                </wp:positionH>
                <wp:positionV relativeFrom="page">
                  <wp:posOffset>2489200</wp:posOffset>
                </wp:positionV>
                <wp:extent cx="254000" cy="304800"/>
                <wp:effectExtent l="0" t="0" r="0" b="0"/>
                <wp:wrapSquare wrapText="bothSides"/>
                <wp:docPr id="18" name="Strzałka w górę 18"/>
                <wp:cNvGraphicFramePr/>
                <a:graphic xmlns:a="http://schemas.openxmlformats.org/drawingml/2006/main">
                  <a:graphicData uri="http://schemas.microsoft.com/office/word/2010/wordprocessingShape">
                    <wps:wsp>
                      <wps:cNvSpPr/>
                      <wps:spPr>
                        <a:xfrm rot="10800000">
                          <a:off x="0" y="0"/>
                          <a:ext cx="254000" cy="304800"/>
                        </a:xfrm>
                        <a:prstGeom prst="upArrow">
                          <a:avLst/>
                        </a:prstGeom>
                        <a:solidFill>
                          <a:srgbClr val="BED6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c="http://schemas.openxmlformats.org/drawingml/2006/chart" xmlns:a="http://schemas.openxmlformats.org/drawingml/2006/main">
            <w:pict>
              <v:shapetype id="_x0000_t68" coordsize="21600,21600" o:spt="68" adj="5400,5400" path="m0@0l@1@0@1,21600@2,21600@2@0,21600@0,10800,xe" w14:anchorId="00CB90AC">
                <v:stroke joinstyle="miter"/>
                <v:formulas>
                  <v:f eqn="val #0"/>
                  <v:f eqn="val #1"/>
                  <v:f eqn="sum 21600 0 #1"/>
                  <v:f eqn="prod #0 #1 10800"/>
                  <v:f eqn="sum #0 0 @3"/>
                </v:formulas>
                <v:path textboxrect="@1,@4,@2,21600" o:connecttype="custom" o:connectlocs="10800,0;0,@0;10800,21600;21600,@0" o:connectangles="270,180,90,0"/>
                <v:handles>
                  <v:h position="#1,#0" xrange="0,10800" yrange="0,21600"/>
                </v:handles>
              </v:shapetype>
              <v:shape id="Strzałka w górę 18" style="position:absolute;margin-left:7.75pt;margin-top:196pt;width:20pt;height:24pt;rotation:180;z-index:-251577344;visibility:visible;mso-wrap-style:square;mso-wrap-distance-left:9pt;mso-wrap-distance-top:0;mso-wrap-distance-right:9pt;mso-wrap-distance-bottom:0;mso-position-horizontal:absolute;mso-position-horizontal-relative:text;mso-position-vertical:absolute;mso-position-vertical-relative:page;v-text-anchor:middle" o:spid="_x0000_s1026" fillcolor="#bed600" stroked="f" strokeweight="1pt" type="#_x0000_t68" adj="9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">
                <w10:wrap type="square" anchory="page"/>
              </v:shape>
            </w:pict>
          </mc:Fallback>
        </mc:AlternateContent>
      </w:r>
      <w:r w:rsidRPr="00074DD8">
        <w:rPr>
          <w:noProof/>
          <w:lang w:eastAsia="pl-PL"/>
        </w:rPr>
        <mc:AlternateContent>
          <mc:Choice Requires="wps">
            <w:drawing>
              <wp:anchor distT="45720" distB="45720" distL="114300" distR="114300" simplePos="0" relativeHeight="251738112" behindDoc="0" locked="0" layoutInCell="1" allowOverlap="1" wp14:anchorId="50EDB936" wp14:editId="4AE73897">
                <wp:simplePos x="0" y="0"/>
                <wp:positionH relativeFrom="margin">
                  <wp:align>left</wp:align>
                </wp:positionH>
                <wp:positionV relativeFrom="paragraph">
                  <wp:posOffset>83427</wp:posOffset>
                </wp:positionV>
                <wp:extent cx="1828800" cy="1045845"/>
                <wp:effectExtent l="0" t="0" r="0" b="190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045845"/>
                        </a:xfrm>
                        <a:prstGeom prst="rect">
                          <a:avLst/>
                        </a:prstGeom>
                        <a:solidFill>
                          <a:srgbClr val="008542"/>
                        </a:solidFill>
                        <a:ln w="9525">
                          <a:noFill/>
                          <a:miter lim="800000"/>
                          <a:headEnd/>
                          <a:tailEnd/>
                        </a:ln>
                      </wps:spPr>
                      <wps:txbx>
                        <w:txbxContent>
                          <w:p w14:paraId="357E831E" w14:textId="77777777" w:rsidR="002B2DD2" w:rsidRPr="00195D0C" w:rsidRDefault="002B2DD2" w:rsidP="002B2DD2">
                            <w:pPr>
                              <w:autoSpaceDE w:val="0"/>
                              <w:autoSpaceDN w:val="0"/>
                              <w:adjustRightInd w:val="0"/>
                              <w:spacing w:before="0" w:after="0" w:line="240" w:lineRule="auto"/>
                              <w:ind w:firstLine="567"/>
                              <w:rPr>
                                <w:rFonts w:ascii="Fira Sans SemiBold" w:hAnsi="Fira Sans SemiBold"/>
                                <w:color w:val="FFFFFF" w:themeColor="background1"/>
                                <w:sz w:val="60"/>
                                <w:szCs w:val="60"/>
                              </w:rPr>
                            </w:pPr>
                            <w:r w:rsidRPr="00195D0C">
                              <w:rPr>
                                <w:rFonts w:ascii="Fira Sans SemiBold" w:hAnsi="Fira Sans SemiBold"/>
                                <w:color w:val="FFFFFF" w:themeColor="background1"/>
                                <w:sz w:val="18"/>
                                <w:szCs w:val="18"/>
                              </w:rPr>
                              <w:t>Ok</w:t>
                            </w:r>
                            <w:r w:rsidRPr="00195D0C">
                              <w:rPr>
                                <w:rFonts w:ascii="Fira Sans SemiBold" w:hAnsi="Fira Sans SemiBold"/>
                                <w:color w:val="FFFFFF" w:themeColor="background1"/>
                                <w:sz w:val="20"/>
                                <w:szCs w:val="20"/>
                              </w:rPr>
                              <w:t>.</w:t>
                            </w:r>
                            <w:r w:rsidRPr="00195D0C">
                              <w:rPr>
                                <w:rFonts w:ascii="Fira Sans SemiBold" w:hAnsi="Fira Sans SemiBold"/>
                                <w:color w:val="FFFFFF" w:themeColor="background1"/>
                                <w:sz w:val="60"/>
                                <w:szCs w:val="60"/>
                              </w:rPr>
                              <w:t>13%</w:t>
                            </w:r>
                          </w:p>
                          <w:p w14:paraId="5178E6F8" w14:textId="77777777" w:rsidR="002B2DD2" w:rsidRPr="00195D0C" w:rsidRDefault="002B2DD2" w:rsidP="002B2DD2">
                            <w:pPr>
                              <w:pStyle w:val="tekstnaniebieskimtle"/>
                              <w:rPr>
                                <w:color w:val="FFFFFF" w:themeColor="background1"/>
                                <w:sz w:val="18"/>
                                <w:szCs w:val="18"/>
                              </w:rPr>
                            </w:pPr>
                            <w:r w:rsidRPr="00896940">
                              <w:rPr>
                                <w:rFonts w:eastAsia="Fira Sans" w:cs="Fira Sans"/>
                                <w:color w:val="FFFFFF"/>
                                <w:sz w:val="18"/>
                                <w:szCs w:val="18"/>
                              </w:rPr>
                              <w:t>Spadek liczby gospodarstw rolnych w porównaniu z PSR 2010</w:t>
                            </w:r>
                            <w:r w:rsidRPr="00195D0C">
                              <w:rPr>
                                <w:color w:val="FFFFFF" w:themeColor="background1"/>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EDB936" id="_x0000_t202" coordsize="21600,21600" o:spt="202" path="m,l,21600r21600,l21600,xe">
                <v:stroke joinstyle="miter"/>
                <v:path gradientshapeok="t" o:connecttype="rect"/>
              </v:shapetype>
              <v:shape id="Pole tekstowe 2" o:spid="_x0000_s1026" type="#_x0000_t202" style="position:absolute;left:0;text-align:left;margin-left:0;margin-top:6.55pt;width:2in;height:82.35pt;z-index:2517381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" fillcolor="#008542" stroked="f">
                <v:textbox>
                  <w:txbxContent>
                    <w:p w14:paraId="357E831E" w14:textId="77777777" w:rsidR="002B2DD2" w:rsidRPr="00195D0C" w:rsidRDefault="002B2DD2" w:rsidP="002B2DD2">
                      <w:pPr>
                        <w:autoSpaceDE w:val="0"/>
                        <w:autoSpaceDN w:val="0"/>
                        <w:adjustRightInd w:val="0"/>
                        <w:spacing w:before="0" w:after="0" w:line="240" w:lineRule="auto"/>
                        <w:ind w:firstLine="567"/>
                        <w:rPr>
                          <w:rFonts w:ascii="Fira Sans SemiBold" w:hAnsi="Fira Sans SemiBold"/>
                          <w:color w:val="FFFFFF" w:themeColor="background1"/>
                          <w:sz w:val="60"/>
                          <w:szCs w:val="60"/>
                        </w:rPr>
                      </w:pPr>
                      <w:r w:rsidRPr="00195D0C">
                        <w:rPr>
                          <w:rFonts w:ascii="Fira Sans SemiBold" w:hAnsi="Fira Sans SemiBold"/>
                          <w:color w:val="FFFFFF" w:themeColor="background1"/>
                          <w:sz w:val="18"/>
                          <w:szCs w:val="18"/>
                        </w:rPr>
                        <w:t>Ok</w:t>
                      </w:r>
                      <w:r w:rsidRPr="00195D0C">
                        <w:rPr>
                          <w:rFonts w:ascii="Fira Sans SemiBold" w:hAnsi="Fira Sans SemiBold"/>
                          <w:color w:val="FFFFFF" w:themeColor="background1"/>
                          <w:sz w:val="20"/>
                          <w:szCs w:val="20"/>
                        </w:rPr>
                        <w:t>.</w:t>
                      </w:r>
                      <w:r w:rsidRPr="00195D0C">
                        <w:rPr>
                          <w:rFonts w:ascii="Fira Sans SemiBold" w:hAnsi="Fira Sans SemiBold"/>
                          <w:color w:val="FFFFFF" w:themeColor="background1"/>
                          <w:sz w:val="60"/>
                          <w:szCs w:val="60"/>
                        </w:rPr>
                        <w:t>13%</w:t>
                      </w:r>
                    </w:p>
                    <w:p w14:paraId="5178E6F8" w14:textId="77777777" w:rsidR="002B2DD2" w:rsidRPr="00195D0C" w:rsidRDefault="002B2DD2" w:rsidP="002B2DD2">
                      <w:pPr>
                        <w:pStyle w:val="tekstnaniebieskimtle"/>
                        <w:rPr>
                          <w:color w:val="FFFFFF" w:themeColor="background1"/>
                          <w:sz w:val="18"/>
                          <w:szCs w:val="18"/>
                        </w:rPr>
                      </w:pPr>
                      <w:r w:rsidRPr="00896940">
                        <w:rPr>
                          <w:rFonts w:eastAsia="Fira Sans" w:cs="Fira Sans"/>
                          <w:color w:val="FFFFFF"/>
                          <w:sz w:val="18"/>
                          <w:szCs w:val="18"/>
                        </w:rPr>
                        <w:t>Spadek liczby gospodarstw rolnych w porównaniu z PSR 2010</w:t>
                      </w:r>
                      <w:r w:rsidRPr="00195D0C">
                        <w:rPr>
                          <w:color w:val="FFFFFF" w:themeColor="background1"/>
                          <w:sz w:val="18"/>
                          <w:szCs w:val="18"/>
                        </w:rPr>
                        <w:t xml:space="preserve"> </w:t>
                      </w:r>
                    </w:p>
                  </w:txbxContent>
                </v:textbox>
                <w10:wrap type="square" anchorx="margin"/>
              </v:shape>
            </w:pict>
          </mc:Fallback>
        </mc:AlternateContent>
      </w:r>
      <w:r w:rsidRPr="00BB4968">
        <w:rPr>
          <w:rFonts w:eastAsia="Fira Sans" w:cs="Fira Sans"/>
          <w:b/>
        </w:rPr>
        <w:t xml:space="preserve"> Według wstępnych wyników </w:t>
      </w:r>
      <w:r w:rsidRPr="00BB4968">
        <w:rPr>
          <w:b/>
          <w:szCs w:val="19"/>
        </w:rPr>
        <w:t xml:space="preserve">Powszechnego Spisu Rolnego w 2020 r., liczba gospodarstw rolnych ogółem wyniosła ok. 1,3 mln i zmniejszyła się o blisko 13% w porównaniu z danymi uzyskanymi w Powszechnym Spisie Rolnym w 2010 r. </w:t>
      </w:r>
      <w:r w:rsidR="00B152C9">
        <w:rPr>
          <w:b/>
          <w:szCs w:val="19"/>
        </w:rPr>
        <w:t>(PSR 2010)</w:t>
      </w:r>
      <w:r w:rsidR="005245FD">
        <w:rPr>
          <w:b/>
          <w:szCs w:val="19"/>
        </w:rPr>
        <w:t>.</w:t>
      </w:r>
    </w:p>
    <w:p w14:paraId="6B2A7B8D" w14:textId="77777777" w:rsidR="003D3005" w:rsidRDefault="003D3005" w:rsidP="003D3005">
      <w:pPr>
        <w:spacing w:beforeLines="120" w:before="288" w:after="0"/>
        <w:ind w:left="2705"/>
        <w:rPr>
          <w:rFonts w:ascii="Fira Sans SemiBold" w:hAnsi="Fira Sans SemiBold"/>
          <w:b/>
          <w:noProof/>
          <w:color w:val="008542"/>
          <w:szCs w:val="19"/>
          <w:lang w:eastAsia="pl-PL"/>
        </w:rPr>
      </w:pPr>
    </w:p>
    <w:p w14:paraId="22AF880C" w14:textId="7EE1044B" w:rsidR="001F05CD" w:rsidRPr="001F05CD" w:rsidRDefault="002B2DD2" w:rsidP="00A441EC">
      <w:pPr>
        <w:spacing w:before="240"/>
        <w:jc w:val="both"/>
        <w:rPr>
          <w:rFonts w:ascii="Fira Sans SemiBold" w:hAnsi="Fira Sans SemiBold"/>
          <w:b/>
          <w:noProof/>
          <w:color w:val="008542"/>
          <w:szCs w:val="19"/>
          <w:lang w:eastAsia="pl-PL"/>
        </w:rPr>
      </w:pPr>
      <w:r w:rsidRPr="00896940">
        <w:rPr>
          <w:noProof/>
          <w:color w:val="000000" w:themeColor="text1"/>
          <w:spacing w:val="-2"/>
          <w:szCs w:val="19"/>
          <w:lang w:eastAsia="pl-PL"/>
        </w:rPr>
        <mc:AlternateContent>
          <mc:Choice Requires="wps">
            <w:drawing>
              <wp:anchor distT="45720" distB="45720" distL="114300" distR="114300" simplePos="0" relativeHeight="251741184" behindDoc="1" locked="0" layoutInCell="1" allowOverlap="1" wp14:anchorId="2372C8E2" wp14:editId="74AE90A9">
                <wp:simplePos x="0" y="0"/>
                <wp:positionH relativeFrom="column">
                  <wp:posOffset>5243830</wp:posOffset>
                </wp:positionH>
                <wp:positionV relativeFrom="paragraph">
                  <wp:posOffset>165735</wp:posOffset>
                </wp:positionV>
                <wp:extent cx="1725295" cy="1355725"/>
                <wp:effectExtent l="0" t="0" r="0" b="0"/>
                <wp:wrapTight wrapText="bothSides">
                  <wp:wrapPolygon edited="0">
                    <wp:start x="715" y="0"/>
                    <wp:lineTo x="715" y="21246"/>
                    <wp:lineTo x="20749" y="21246"/>
                    <wp:lineTo x="20749" y="0"/>
                    <wp:lineTo x="715" y="0"/>
                  </wp:wrapPolygon>
                </wp:wrapTight>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355725"/>
                        </a:xfrm>
                        <a:prstGeom prst="rect">
                          <a:avLst/>
                        </a:prstGeom>
                        <a:noFill/>
                        <a:ln w="9525">
                          <a:noFill/>
                          <a:miter lim="800000"/>
                          <a:headEnd/>
                          <a:tailEnd/>
                        </a:ln>
                      </wps:spPr>
                      <wps:txbx>
                        <w:txbxContent>
                          <w:p w14:paraId="2641A677" w14:textId="1FFEFB5F" w:rsidR="002B2DD2" w:rsidRPr="00896940" w:rsidRDefault="002B2DD2" w:rsidP="002B2DD2">
                            <w:pPr>
                              <w:spacing w:after="0"/>
                              <w:ind w:right="-23"/>
                              <w:rPr>
                                <w:bCs/>
                                <w:color w:val="008542"/>
                                <w:sz w:val="18"/>
                                <w:szCs w:val="18"/>
                              </w:rPr>
                            </w:pPr>
                            <w:r w:rsidRPr="00E40703">
                              <w:rPr>
                                <w:rFonts w:eastAsia="Times New Roman" w:cs="Times New Roman"/>
                                <w:bCs/>
                                <w:color w:val="008542"/>
                                <w:sz w:val="18"/>
                                <w:szCs w:val="18"/>
                                <w:lang w:eastAsia="pl-PL"/>
                              </w:rPr>
                              <w:t>Powszechny Spis Rolny (PSR) został przeprowadzony na terytorium Polski w okresie od 1 września do 30 listopada 2020</w:t>
                            </w:r>
                            <w:r w:rsidR="00195D0C">
                              <w:rPr>
                                <w:rFonts w:eastAsia="Times New Roman" w:cs="Times New Roman"/>
                                <w:bCs/>
                                <w:color w:val="008542"/>
                                <w:sz w:val="18"/>
                                <w:szCs w:val="18"/>
                                <w:lang w:eastAsia="pl-PL"/>
                              </w:rPr>
                              <w:t xml:space="preserve"> r., według stanu </w:t>
                            </w:r>
                            <w:r w:rsidR="005245FD">
                              <w:rPr>
                                <w:rFonts w:eastAsia="Times New Roman" w:cs="Times New Roman"/>
                                <w:bCs/>
                                <w:color w:val="008542"/>
                                <w:sz w:val="18"/>
                                <w:szCs w:val="18"/>
                                <w:lang w:eastAsia="pl-PL"/>
                              </w:rPr>
                              <w:t>na dzień</w:t>
                            </w:r>
                            <w:r w:rsidRPr="00E40703">
                              <w:rPr>
                                <w:rFonts w:eastAsia="Times New Roman" w:cs="Times New Roman"/>
                                <w:bCs/>
                                <w:color w:val="008542"/>
                                <w:sz w:val="18"/>
                                <w:szCs w:val="18"/>
                                <w:lang w:eastAsia="pl-PL"/>
                              </w:rPr>
                              <w:t xml:space="preserve"> 1 czerwca 2020 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72C8E2" id="Pole tekstowe 6" o:spid="_x0000_s1027" type="#_x0000_t202" style="position:absolute;left:0;text-align:left;margin-left:412.9pt;margin-top:13.05pt;width:135.85pt;height:106.75pt;z-index:-251575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" filled="f" stroked="f">
                <v:textbox>
                  <w:txbxContent>
                    <w:p w14:paraId="2641A677" w14:textId="1FFEFB5F" w:rsidR="002B2DD2" w:rsidRPr="00896940" w:rsidRDefault="002B2DD2" w:rsidP="002B2DD2">
                      <w:pPr>
                        <w:spacing w:after="0"/>
                        <w:ind w:right="-23"/>
                        <w:rPr>
                          <w:bCs/>
                          <w:color w:val="008542"/>
                          <w:sz w:val="18"/>
                          <w:szCs w:val="18"/>
                        </w:rPr>
                      </w:pPr>
                      <w:r w:rsidRPr="00E40703">
                        <w:rPr>
                          <w:rFonts w:eastAsia="Times New Roman" w:cs="Times New Roman"/>
                          <w:bCs/>
                          <w:color w:val="008542"/>
                          <w:sz w:val="18"/>
                          <w:szCs w:val="18"/>
                          <w:lang w:eastAsia="pl-PL"/>
                        </w:rPr>
                        <w:t>Powszechny Spis Rolny (PSR) został przeprowadzony na terytorium Polski w okresie od 1 września do 30 listopada 2020</w:t>
                      </w:r>
                      <w:r w:rsidR="00195D0C">
                        <w:rPr>
                          <w:rFonts w:eastAsia="Times New Roman" w:cs="Times New Roman"/>
                          <w:bCs/>
                          <w:color w:val="008542"/>
                          <w:sz w:val="18"/>
                          <w:szCs w:val="18"/>
                          <w:lang w:eastAsia="pl-PL"/>
                        </w:rPr>
                        <w:t xml:space="preserve"> r., według stanu </w:t>
                      </w:r>
                      <w:r w:rsidR="005245FD">
                        <w:rPr>
                          <w:rFonts w:eastAsia="Times New Roman" w:cs="Times New Roman"/>
                          <w:bCs/>
                          <w:color w:val="008542"/>
                          <w:sz w:val="18"/>
                          <w:szCs w:val="18"/>
                          <w:lang w:eastAsia="pl-PL"/>
                        </w:rPr>
                        <w:t>na dzień</w:t>
                      </w:r>
                      <w:r w:rsidRPr="00E40703">
                        <w:rPr>
                          <w:rFonts w:eastAsia="Times New Roman" w:cs="Times New Roman"/>
                          <w:bCs/>
                          <w:color w:val="008542"/>
                          <w:sz w:val="18"/>
                          <w:szCs w:val="18"/>
                          <w:lang w:eastAsia="pl-PL"/>
                        </w:rPr>
                        <w:t xml:space="preserve"> 1 czerwca 2020 r. </w:t>
                      </w:r>
                    </w:p>
                  </w:txbxContent>
                </v:textbox>
                <w10:wrap type="tight"/>
              </v:shape>
            </w:pict>
          </mc:Fallback>
        </mc:AlternateContent>
      </w:r>
      <w:r w:rsidR="001F05CD" w:rsidRPr="001F05CD">
        <w:rPr>
          <w:rFonts w:ascii="Fira Sans SemiBold" w:hAnsi="Fira Sans SemiBold"/>
          <w:b/>
          <w:noProof/>
          <w:color w:val="008542"/>
          <w:szCs w:val="19"/>
          <w:lang w:eastAsia="pl-PL"/>
        </w:rPr>
        <w:t>Wp</w:t>
      </w:r>
      <w:r w:rsidR="00CA2C5E">
        <w:rPr>
          <w:rFonts w:ascii="Fira Sans SemiBold" w:hAnsi="Fira Sans SemiBold"/>
          <w:b/>
          <w:noProof/>
          <w:color w:val="008542"/>
          <w:szCs w:val="19"/>
          <w:lang w:eastAsia="pl-PL"/>
        </w:rPr>
        <w:t>rowadzenie</w:t>
      </w:r>
    </w:p>
    <w:p w14:paraId="74558C06" w14:textId="6E35AE50" w:rsidR="002B2DD2" w:rsidRDefault="002B2DD2" w:rsidP="00A441EC">
      <w:pPr>
        <w:rPr>
          <w:noProof/>
          <w:sz w:val="20"/>
          <w:szCs w:val="20"/>
        </w:rPr>
      </w:pPr>
      <w:r w:rsidRPr="00896940">
        <w:rPr>
          <w:noProof/>
          <w:color w:val="000000" w:themeColor="text1"/>
          <w:spacing w:val="-2"/>
          <w:szCs w:val="19"/>
          <w:lang w:eastAsia="pl-PL"/>
        </w:rPr>
        <mc:AlternateContent>
          <mc:Choice Requires="wps">
            <w:drawing>
              <wp:anchor distT="45720" distB="45720" distL="114300" distR="114300" simplePos="0" relativeHeight="251737088" behindDoc="1" locked="0" layoutInCell="1" allowOverlap="1" wp14:anchorId="2F4F34F5" wp14:editId="0CAF5E85">
                <wp:simplePos x="0" y="0"/>
                <wp:positionH relativeFrom="column">
                  <wp:posOffset>5233670</wp:posOffset>
                </wp:positionH>
                <wp:positionV relativeFrom="paragraph">
                  <wp:posOffset>156210</wp:posOffset>
                </wp:positionV>
                <wp:extent cx="1696085" cy="1159510"/>
                <wp:effectExtent l="0" t="0" r="0" b="2540"/>
                <wp:wrapTight wrapText="bothSides">
                  <wp:wrapPolygon edited="0">
                    <wp:start x="728" y="0"/>
                    <wp:lineTo x="728" y="21292"/>
                    <wp:lineTo x="20621" y="21292"/>
                    <wp:lineTo x="20621" y="0"/>
                    <wp:lineTo x="728"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1159510"/>
                        </a:xfrm>
                        <a:prstGeom prst="rect">
                          <a:avLst/>
                        </a:prstGeom>
                        <a:noFill/>
                        <a:ln w="9525">
                          <a:noFill/>
                          <a:miter lim="800000"/>
                          <a:headEnd/>
                          <a:tailEnd/>
                        </a:ln>
                      </wps:spPr>
                      <wps:txbx>
                        <w:txbxContent>
                          <w:p w14:paraId="3F9BEC10" w14:textId="77777777" w:rsidR="002B2DD2" w:rsidRPr="005F45EE" w:rsidRDefault="002B2DD2" w:rsidP="002B2DD2">
                            <w:pPr>
                              <w:spacing w:before="0" w:after="0"/>
                              <w:ind w:right="-22"/>
                              <w:rPr>
                                <w:bCs/>
                                <w:color w:val="00854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4F34F5" id="_x0000_s1028" type="#_x0000_t202" style="position:absolute;margin-left:412.1pt;margin-top:12.3pt;width:133.55pt;height:91.3pt;z-index:-251579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" filled="f" stroked="f">
                <v:textbox>
                  <w:txbxContent>
                    <w:p w14:paraId="3F9BEC10" w14:textId="77777777" w:rsidR="002B2DD2" w:rsidRPr="005F45EE" w:rsidRDefault="002B2DD2" w:rsidP="002B2DD2">
                      <w:pPr>
                        <w:spacing w:before="0" w:after="0"/>
                        <w:ind w:right="-22"/>
                        <w:rPr>
                          <w:bCs/>
                          <w:color w:val="008542"/>
                        </w:rPr>
                      </w:pPr>
                    </w:p>
                  </w:txbxContent>
                </v:textbox>
                <w10:wrap type="tight"/>
              </v:shape>
            </w:pict>
          </mc:Fallback>
        </mc:AlternateContent>
      </w:r>
      <w:r w:rsidRPr="00BB4968">
        <w:rPr>
          <w:noProof/>
          <w:color w:val="000000" w:themeColor="text1"/>
          <w:szCs w:val="19"/>
          <w:lang w:eastAsia="pl-PL"/>
        </w:rPr>
        <w:t xml:space="preserve">Powszechny Spis Rolny 2020 (PSR 2020) został przeprowadzony </w:t>
      </w:r>
      <w:r w:rsidRPr="00BB4968">
        <w:rPr>
          <w:rFonts w:eastAsia="Calibri"/>
          <w:noProof/>
          <w:color w:val="000000" w:themeColor="text1"/>
          <w:szCs w:val="19"/>
          <w:lang w:eastAsia="pl-PL"/>
        </w:rPr>
        <w:t xml:space="preserve">na terytorium Rzeczypospolitej Polskiej w okresie od 1 września do 30 listopada 2020 r., według stanu </w:t>
      </w:r>
      <w:r w:rsidR="005245FD">
        <w:rPr>
          <w:rFonts w:eastAsia="Calibri"/>
          <w:noProof/>
          <w:color w:val="000000" w:themeColor="text1"/>
          <w:szCs w:val="19"/>
          <w:lang w:eastAsia="pl-PL"/>
        </w:rPr>
        <w:t xml:space="preserve">na dzień </w:t>
      </w:r>
      <w:r w:rsidRPr="00BB4968">
        <w:rPr>
          <w:rFonts w:eastAsia="Calibri"/>
          <w:noProof/>
          <w:color w:val="000000" w:themeColor="text1"/>
          <w:szCs w:val="19"/>
          <w:lang w:eastAsia="pl-PL"/>
        </w:rPr>
        <w:t>1 czerwca 2020 r.</w:t>
      </w:r>
      <w:r w:rsidRPr="00BB4968">
        <w:rPr>
          <w:noProof/>
          <w:color w:val="000000" w:themeColor="text1"/>
          <w:szCs w:val="19"/>
          <w:lang w:eastAsia="pl-PL"/>
        </w:rPr>
        <w:t xml:space="preserve"> i był drugim spisem rolnym od momentu przystąpienia Polski do Unii Europejskiej. </w:t>
      </w:r>
      <w:r w:rsidRPr="00BB4968">
        <w:rPr>
          <w:rFonts w:cs="Arial"/>
          <w:noProof/>
          <w:color w:val="000000" w:themeColor="text1"/>
          <w:szCs w:val="19"/>
          <w:lang w:eastAsia="pl-PL"/>
        </w:rPr>
        <w:t>Zgodnie z Rozporządzeniem Parlamentu Europejskiego i Rady (UE) 2018/1091, wszystkie kraje członkowskie UE miały obowiązek przeprowadzić badanie zintegrowanych statystyk dotyczących gospodarstw rolnych w 2020 r. Podstawowym celem tego badania było dostarczenie informacji na potrzeby Wspólnej Polityki Rolnej Unii Europejskiej</w:t>
      </w:r>
      <w:r w:rsidRPr="00A441EC">
        <w:rPr>
          <w:rFonts w:cs="Arial"/>
          <w:noProof/>
          <w:color w:val="000000" w:themeColor="text1"/>
          <w:szCs w:val="19"/>
          <w:lang w:eastAsia="pl-PL"/>
        </w:rPr>
        <w:t xml:space="preserve">. </w:t>
      </w:r>
      <w:r w:rsidRPr="00A441EC">
        <w:rPr>
          <w:noProof/>
          <w:color w:val="000000" w:themeColor="text1"/>
          <w:szCs w:val="19"/>
        </w:rPr>
        <w:t>Konieczność przeprowadzenia spisu wynikał</w:t>
      </w:r>
      <w:r w:rsidR="003D3005" w:rsidRPr="00A441EC">
        <w:rPr>
          <w:noProof/>
          <w:color w:val="000000" w:themeColor="text1"/>
          <w:szCs w:val="19"/>
        </w:rPr>
        <w:t>a</w:t>
      </w:r>
      <w:r w:rsidRPr="00A441EC">
        <w:rPr>
          <w:noProof/>
          <w:color w:val="000000" w:themeColor="text1"/>
          <w:szCs w:val="19"/>
        </w:rPr>
        <w:t xml:space="preserve"> również z potrzeb</w:t>
      </w:r>
      <w:r w:rsidR="00444D8D" w:rsidRPr="00A441EC">
        <w:rPr>
          <w:noProof/>
          <w:color w:val="000000" w:themeColor="text1"/>
          <w:szCs w:val="19"/>
        </w:rPr>
        <w:t xml:space="preserve"> informacyjnych</w:t>
      </w:r>
      <w:r w:rsidRPr="00A441EC">
        <w:rPr>
          <w:noProof/>
          <w:color w:val="000000" w:themeColor="text1"/>
          <w:szCs w:val="19"/>
        </w:rPr>
        <w:t xml:space="preserve"> </w:t>
      </w:r>
      <w:r w:rsidR="00444D8D" w:rsidRPr="00A441EC">
        <w:rPr>
          <w:noProof/>
          <w:color w:val="000000" w:themeColor="text1"/>
          <w:szCs w:val="19"/>
        </w:rPr>
        <w:t>krajowych</w:t>
      </w:r>
      <w:r w:rsidRPr="00A441EC">
        <w:rPr>
          <w:noProof/>
          <w:color w:val="000000" w:themeColor="text1"/>
          <w:szCs w:val="19"/>
        </w:rPr>
        <w:t xml:space="preserve"> użytkowników </w:t>
      </w:r>
      <w:r w:rsidR="00444D8D" w:rsidRPr="00A441EC">
        <w:rPr>
          <w:noProof/>
          <w:color w:val="000000" w:themeColor="text1"/>
          <w:szCs w:val="19"/>
        </w:rPr>
        <w:t>danych</w:t>
      </w:r>
      <w:r w:rsidR="00B152C9" w:rsidRPr="00A441EC">
        <w:rPr>
          <w:noProof/>
          <w:color w:val="000000" w:themeColor="text1"/>
          <w:szCs w:val="19"/>
        </w:rPr>
        <w:t>, a </w:t>
      </w:r>
      <w:r w:rsidRPr="00A441EC">
        <w:rPr>
          <w:noProof/>
          <w:color w:val="000000" w:themeColor="text1"/>
          <w:szCs w:val="19"/>
        </w:rPr>
        <w:t>przede wszystkim z weryfikacji dany</w:t>
      </w:r>
      <w:r w:rsidR="003D3005" w:rsidRPr="00A441EC">
        <w:rPr>
          <w:noProof/>
          <w:color w:val="000000" w:themeColor="text1"/>
          <w:szCs w:val="19"/>
        </w:rPr>
        <w:t>ch ze źródeł administracyjnych oraz</w:t>
      </w:r>
      <w:r w:rsidRPr="00A441EC">
        <w:rPr>
          <w:noProof/>
          <w:color w:val="000000" w:themeColor="text1"/>
          <w:szCs w:val="19"/>
        </w:rPr>
        <w:t xml:space="preserve"> </w:t>
      </w:r>
      <w:r w:rsidR="00994333" w:rsidRPr="00A441EC">
        <w:rPr>
          <w:noProof/>
          <w:color w:val="000000" w:themeColor="text1"/>
          <w:szCs w:val="19"/>
        </w:rPr>
        <w:t xml:space="preserve">z </w:t>
      </w:r>
      <w:r w:rsidRPr="00A441EC">
        <w:rPr>
          <w:noProof/>
          <w:color w:val="000000" w:themeColor="text1"/>
          <w:szCs w:val="19"/>
        </w:rPr>
        <w:t xml:space="preserve">potrzeby aktualizacji operatu do przyszłych badań </w:t>
      </w:r>
      <w:r w:rsidR="003D3005" w:rsidRPr="00A441EC">
        <w:rPr>
          <w:noProof/>
          <w:color w:val="000000" w:themeColor="text1"/>
          <w:szCs w:val="19"/>
        </w:rPr>
        <w:t xml:space="preserve">rolniczych realizowanych </w:t>
      </w:r>
      <w:r w:rsidRPr="00A441EC">
        <w:rPr>
          <w:noProof/>
          <w:color w:val="000000" w:themeColor="text1"/>
          <w:szCs w:val="19"/>
        </w:rPr>
        <w:t>w okresach międzyspisowych.</w:t>
      </w:r>
      <w:r w:rsidRPr="00BB4968">
        <w:rPr>
          <w:noProof/>
          <w:color w:val="000000" w:themeColor="text1"/>
          <w:szCs w:val="19"/>
        </w:rPr>
        <w:t xml:space="preserve"> Krajową podstawą prawną do przeprowadzenia spisu rolnego była </w:t>
      </w:r>
      <w:r w:rsidRPr="00BB4968">
        <w:rPr>
          <w:noProof/>
          <w:color w:val="000000" w:themeColor="text1"/>
          <w:szCs w:val="19"/>
          <w:lang w:eastAsia="pl-PL"/>
        </w:rPr>
        <w:t>ustawa o powszec</w:t>
      </w:r>
      <w:r w:rsidRPr="00896940">
        <w:rPr>
          <w:noProof/>
          <w:color w:val="000000" w:themeColor="text1"/>
          <w:szCs w:val="19"/>
          <w:lang w:eastAsia="pl-PL"/>
        </w:rPr>
        <w:t>hnym spisie rolnych w 2020 r. (</w:t>
      </w:r>
      <w:r w:rsidRPr="00BB4968">
        <w:rPr>
          <w:noProof/>
          <w:color w:val="000000" w:themeColor="text1"/>
          <w:szCs w:val="19"/>
          <w:lang w:eastAsia="pl-PL"/>
        </w:rPr>
        <w:t>Dz. U. z 2019 r. poz. 1728 z późn. zm</w:t>
      </w:r>
      <w:r w:rsidRPr="00BB4968">
        <w:rPr>
          <w:noProof/>
          <w:szCs w:val="19"/>
          <w:lang w:eastAsia="pl-PL"/>
        </w:rPr>
        <w:t>.)</w:t>
      </w:r>
      <w:r w:rsidR="005245FD">
        <w:rPr>
          <w:noProof/>
          <w:szCs w:val="19"/>
          <w:lang w:eastAsia="pl-PL"/>
        </w:rPr>
        <w:t>.</w:t>
      </w:r>
    </w:p>
    <w:p w14:paraId="14C1847B" w14:textId="1313EFBE" w:rsidR="00361B5F" w:rsidRDefault="002B2DD2" w:rsidP="003D3005">
      <w:pPr>
        <w:rPr>
          <w:szCs w:val="19"/>
        </w:rPr>
      </w:pPr>
      <w:r w:rsidRPr="00BB4968">
        <w:rPr>
          <w:szCs w:val="19"/>
        </w:rPr>
        <w:t>Spisem rolnym, jako badaniem pełnym, zostały objęte gospodarstwa rolne, których użytkownikami były osoby fizyczne (gospodarstwa indywidualne) oraz osoby prawne i jednostki organizacyjne niemające osobowości prawnej.</w:t>
      </w:r>
    </w:p>
    <w:p w14:paraId="6C0E7B70" w14:textId="77777777" w:rsidR="00A441EC" w:rsidRPr="003D3005" w:rsidRDefault="00A441EC" w:rsidP="003D3005">
      <w:pPr>
        <w:rPr>
          <w:szCs w:val="19"/>
        </w:rPr>
      </w:pPr>
    </w:p>
    <w:p w14:paraId="6C6EA66A" w14:textId="77777777" w:rsidR="002B2DD2" w:rsidRPr="00BB4968" w:rsidRDefault="002B2DD2" w:rsidP="002B2DD2">
      <w:pPr>
        <w:keepNext/>
        <w:numPr>
          <w:ilvl w:val="0"/>
          <w:numId w:val="5"/>
        </w:numPr>
        <w:spacing w:before="0"/>
        <w:ind w:left="284" w:hanging="284"/>
        <w:outlineLvl w:val="0"/>
        <w:rPr>
          <w:rFonts w:ascii="Fira Sans SemiBold" w:eastAsia="Times New Roman" w:hAnsi="Fira Sans SemiBold" w:cs="Times New Roman"/>
          <w:b/>
          <w:bCs/>
          <w:color w:val="008542"/>
          <w:szCs w:val="19"/>
          <w:lang w:eastAsia="pl-PL"/>
        </w:rPr>
      </w:pPr>
      <w:r w:rsidRPr="00BB4968">
        <w:rPr>
          <w:rFonts w:ascii="Fira Sans SemiBold" w:eastAsia="Times New Roman" w:hAnsi="Fira Sans SemiBold" w:cs="Times New Roman"/>
          <w:b/>
          <w:bCs/>
          <w:color w:val="008542"/>
          <w:szCs w:val="19"/>
          <w:lang w:eastAsia="pl-PL"/>
        </w:rPr>
        <w:t>Liczba gospodarstw rolnych i ich średnia powierzchnia</w:t>
      </w:r>
    </w:p>
    <w:p w14:paraId="6BF30EB1" w14:textId="0CFE0516" w:rsidR="002B2DD2" w:rsidRPr="00BB4968" w:rsidRDefault="002B2DD2" w:rsidP="002B2DD2">
      <w:pPr>
        <w:rPr>
          <w:szCs w:val="19"/>
        </w:rPr>
      </w:pPr>
      <w:r w:rsidRPr="00BB4968">
        <w:rPr>
          <w:szCs w:val="19"/>
        </w:rPr>
        <w:t xml:space="preserve">Według wstępnych wyników Powszechnego Spisu Rolnego w 2020 r., </w:t>
      </w:r>
      <w:r w:rsidRPr="00BB4968">
        <w:rPr>
          <w:b/>
          <w:szCs w:val="19"/>
        </w:rPr>
        <w:t>liczba gospodarstw rolnych ogółem wyniosła ok. 1</w:t>
      </w:r>
      <w:r w:rsidR="003D3005">
        <w:rPr>
          <w:b/>
          <w:szCs w:val="19"/>
        </w:rPr>
        <w:t xml:space="preserve"> </w:t>
      </w:r>
      <w:r w:rsidRPr="00BB4968">
        <w:rPr>
          <w:b/>
          <w:szCs w:val="19"/>
        </w:rPr>
        <w:t>317 tys.</w:t>
      </w:r>
      <w:r w:rsidRPr="00BB4968">
        <w:rPr>
          <w:szCs w:val="19"/>
        </w:rPr>
        <w:t xml:space="preserve"> i w porównaniu do Po</w:t>
      </w:r>
      <w:r w:rsidR="00B152C9">
        <w:rPr>
          <w:szCs w:val="19"/>
        </w:rPr>
        <w:t>wszechnego Spisu Rolnego w 2010 r.</w:t>
      </w:r>
      <w:r w:rsidRPr="00BB4968">
        <w:rPr>
          <w:szCs w:val="19"/>
        </w:rPr>
        <w:t xml:space="preserve"> zmniejszyła się o ok. 190 tys., tj. o blisko 13%.</w:t>
      </w:r>
    </w:p>
    <w:p w14:paraId="66878293" w14:textId="0972DA84" w:rsidR="002B2DD2" w:rsidRPr="00BB4968" w:rsidRDefault="00A441EC" w:rsidP="003D3005">
      <w:pPr>
        <w:spacing w:before="0" w:after="0"/>
        <w:rPr>
          <w:szCs w:val="19"/>
        </w:rPr>
      </w:pPr>
      <w:r w:rsidRPr="00BB4968">
        <w:rPr>
          <w:rFonts w:asciiTheme="minorHAnsi" w:hAnsiTheme="minorHAnsi"/>
          <w:b/>
          <w:noProof/>
          <w:sz w:val="18"/>
          <w:szCs w:val="18"/>
          <w:lang w:eastAsia="pl-PL"/>
        </w:rPr>
        <w:drawing>
          <wp:anchor distT="0" distB="0" distL="114300" distR="114300" simplePos="0" relativeHeight="251740160" behindDoc="0" locked="0" layoutInCell="1" allowOverlap="1" wp14:anchorId="4015E765" wp14:editId="7AFC63D2">
            <wp:simplePos x="0" y="0"/>
            <wp:positionH relativeFrom="margin">
              <wp:align>left</wp:align>
            </wp:positionH>
            <wp:positionV relativeFrom="paragraph">
              <wp:posOffset>185420</wp:posOffset>
            </wp:positionV>
            <wp:extent cx="5013960" cy="2565400"/>
            <wp:effectExtent l="0" t="0" r="0" b="6350"/>
            <wp:wrapSquare wrapText="bothSides"/>
            <wp:docPr id="1" name="Wykres 1" title="w tys."/>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2B2DD2" w:rsidRPr="00BB4968">
        <w:rPr>
          <w:b/>
          <w:sz w:val="18"/>
          <w:szCs w:val="18"/>
        </w:rPr>
        <w:t>Wykres 1. Liczba gospodarstw rolnych</w:t>
      </w:r>
      <w:r w:rsidR="007B7CB0">
        <w:rPr>
          <w:b/>
          <w:sz w:val="18"/>
          <w:szCs w:val="18"/>
        </w:rPr>
        <w:t xml:space="preserve"> w tys.</w:t>
      </w:r>
    </w:p>
    <w:p w14:paraId="77A93F5B" w14:textId="7848FEA1" w:rsidR="002B2DD2" w:rsidRPr="00413E5A" w:rsidRDefault="00A441EC" w:rsidP="002B2DD2">
      <w:pPr>
        <w:rPr>
          <w:szCs w:val="19"/>
        </w:rPr>
      </w:pPr>
      <w:r w:rsidRPr="00413E5A">
        <w:rPr>
          <w:noProof/>
          <w:spacing w:val="-4"/>
          <w:szCs w:val="19"/>
          <w:lang w:eastAsia="pl-PL"/>
        </w:rPr>
        <w:lastRenderedPageBreak/>
        <mc:AlternateContent>
          <mc:Choice Requires="wps">
            <w:drawing>
              <wp:anchor distT="45720" distB="45720" distL="114300" distR="114300" simplePos="0" relativeHeight="251742208" behindDoc="1" locked="0" layoutInCell="1" allowOverlap="1" wp14:anchorId="3EC9BAAE" wp14:editId="46832C69">
                <wp:simplePos x="0" y="0"/>
                <wp:positionH relativeFrom="page">
                  <wp:posOffset>5740400</wp:posOffset>
                </wp:positionH>
                <wp:positionV relativeFrom="paragraph">
                  <wp:posOffset>0</wp:posOffset>
                </wp:positionV>
                <wp:extent cx="1772920" cy="995680"/>
                <wp:effectExtent l="0" t="0" r="0" b="0"/>
                <wp:wrapTight wrapText="bothSides">
                  <wp:wrapPolygon edited="0">
                    <wp:start x="696" y="0"/>
                    <wp:lineTo x="696" y="21077"/>
                    <wp:lineTo x="20888" y="21077"/>
                    <wp:lineTo x="20888" y="0"/>
                    <wp:lineTo x="696" y="0"/>
                  </wp:wrapPolygon>
                </wp:wrapTight>
                <wp:docPr id="12" name="Pole tekstow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920" cy="995680"/>
                        </a:xfrm>
                        <a:prstGeom prst="rect">
                          <a:avLst/>
                        </a:prstGeom>
                        <a:noFill/>
                        <a:ln w="9525">
                          <a:noFill/>
                          <a:miter lim="800000"/>
                          <a:headEnd/>
                          <a:tailEnd/>
                        </a:ln>
                      </wps:spPr>
                      <wps:txbx>
                        <w:txbxContent>
                          <w:p w14:paraId="5BBBEA91" w14:textId="3C4730EE" w:rsidR="002B2DD2" w:rsidRPr="00AC7E0F" w:rsidRDefault="002B2DD2" w:rsidP="002B2DD2">
                            <w:pPr>
                              <w:spacing w:after="0"/>
                              <w:rPr>
                                <w:rFonts w:eastAsia="Times New Roman" w:cs="Times New Roman"/>
                                <w:bCs/>
                                <w:color w:val="008542"/>
                                <w:sz w:val="18"/>
                                <w:szCs w:val="18"/>
                                <w:lang w:eastAsia="pl-PL"/>
                              </w:rPr>
                            </w:pPr>
                            <w:r w:rsidRPr="00AC7E0F">
                              <w:rPr>
                                <w:rFonts w:eastAsia="Times New Roman" w:cs="Times New Roman"/>
                                <w:bCs/>
                                <w:color w:val="008542"/>
                                <w:sz w:val="18"/>
                                <w:szCs w:val="18"/>
                                <w:lang w:eastAsia="pl-PL"/>
                              </w:rPr>
                              <w:t>W 2020 r. średnia powierzchnia UR w gospodarstwie rolnym wyniosła 11,1 ha (o</w:t>
                            </w:r>
                            <w:r w:rsidR="001F05CD">
                              <w:rPr>
                                <w:rFonts w:eastAsia="Times New Roman" w:cs="Times New Roman"/>
                                <w:bCs/>
                                <w:color w:val="008542"/>
                                <w:sz w:val="18"/>
                                <w:szCs w:val="18"/>
                                <w:lang w:eastAsia="pl-PL"/>
                              </w:rPr>
                              <w:t>k.</w:t>
                            </w:r>
                            <w:r w:rsidRPr="00AC7E0F">
                              <w:rPr>
                                <w:rFonts w:eastAsia="Times New Roman" w:cs="Times New Roman"/>
                                <w:bCs/>
                                <w:color w:val="008542"/>
                                <w:sz w:val="18"/>
                                <w:szCs w:val="18"/>
                                <w:lang w:eastAsia="pl-PL"/>
                              </w:rPr>
                              <w:t xml:space="preserve"> 13% więcej niż w PSR 2010)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C9BAAE" id="Pole tekstowe 12" o:spid="_x0000_s1029" type="#_x0000_t202" style="position:absolute;margin-left:452pt;margin-top:0;width:139.6pt;height:78.4pt;z-index:-2515742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" filled="f" stroked="f">
                <v:textbox>
                  <w:txbxContent>
                    <w:p w14:paraId="5BBBEA91" w14:textId="3C4730EE" w:rsidR="002B2DD2" w:rsidRPr="00AC7E0F" w:rsidRDefault="002B2DD2" w:rsidP="002B2DD2">
                      <w:pPr>
                        <w:spacing w:after="0"/>
                        <w:rPr>
                          <w:rFonts w:eastAsia="Times New Roman" w:cs="Times New Roman"/>
                          <w:bCs/>
                          <w:color w:val="008542"/>
                          <w:sz w:val="18"/>
                          <w:szCs w:val="18"/>
                          <w:lang w:eastAsia="pl-PL"/>
                        </w:rPr>
                      </w:pPr>
                      <w:r w:rsidRPr="00AC7E0F">
                        <w:rPr>
                          <w:rFonts w:eastAsia="Times New Roman" w:cs="Times New Roman"/>
                          <w:bCs/>
                          <w:color w:val="008542"/>
                          <w:sz w:val="18"/>
                          <w:szCs w:val="18"/>
                          <w:lang w:eastAsia="pl-PL"/>
                        </w:rPr>
                        <w:t>W 2020 r. średnia powierzchnia UR w gospodarstwie rolnym wyniosła 11,1 ha (o</w:t>
                      </w:r>
                      <w:r w:rsidR="001F05CD">
                        <w:rPr>
                          <w:rFonts w:eastAsia="Times New Roman" w:cs="Times New Roman"/>
                          <w:bCs/>
                          <w:color w:val="008542"/>
                          <w:sz w:val="18"/>
                          <w:szCs w:val="18"/>
                          <w:lang w:eastAsia="pl-PL"/>
                        </w:rPr>
                        <w:t>k.</w:t>
                      </w:r>
                      <w:r w:rsidRPr="00AC7E0F">
                        <w:rPr>
                          <w:rFonts w:eastAsia="Times New Roman" w:cs="Times New Roman"/>
                          <w:bCs/>
                          <w:color w:val="008542"/>
                          <w:sz w:val="18"/>
                          <w:szCs w:val="18"/>
                          <w:lang w:eastAsia="pl-PL"/>
                        </w:rPr>
                        <w:t xml:space="preserve"> 13% więcej niż w PSR 2010)</w:t>
                      </w:r>
                    </w:p>
                  </w:txbxContent>
                </v:textbox>
                <w10:wrap type="tight" anchorx="page"/>
              </v:shape>
            </w:pict>
          </mc:Fallback>
        </mc:AlternateContent>
      </w:r>
      <w:r w:rsidR="002B2DD2" w:rsidRPr="00413E5A">
        <w:rPr>
          <w:szCs w:val="19"/>
        </w:rPr>
        <w:t xml:space="preserve">Obserwowany spadek liczby gospodarstw rolnych, przy nieznacznym spadku powierzchni użytków rolnych, znalazł swoje odzwierciedlenie we wzroście </w:t>
      </w:r>
      <w:r w:rsidR="002B2DD2" w:rsidRPr="00413E5A">
        <w:rPr>
          <w:b/>
          <w:szCs w:val="19"/>
        </w:rPr>
        <w:t xml:space="preserve">średniej powierzchni użytków rolnych </w:t>
      </w:r>
      <w:r w:rsidR="002B2DD2" w:rsidRPr="00413E5A">
        <w:rPr>
          <w:szCs w:val="19"/>
        </w:rPr>
        <w:t>(UR)</w:t>
      </w:r>
      <w:r w:rsidR="002B2DD2" w:rsidRPr="00413E5A">
        <w:rPr>
          <w:b/>
          <w:szCs w:val="19"/>
        </w:rPr>
        <w:t xml:space="preserve"> </w:t>
      </w:r>
      <w:r w:rsidR="002B2DD2" w:rsidRPr="00413E5A">
        <w:rPr>
          <w:szCs w:val="19"/>
        </w:rPr>
        <w:t xml:space="preserve">przypadającej na 1 gospodarstwo rolne o ok. 13%, tj. z 9,8 ha w 2010 r. do </w:t>
      </w:r>
      <w:r w:rsidR="002B2DD2" w:rsidRPr="00413E5A">
        <w:rPr>
          <w:b/>
          <w:szCs w:val="19"/>
        </w:rPr>
        <w:t>11,1 ha</w:t>
      </w:r>
      <w:r w:rsidR="002B2DD2" w:rsidRPr="00413E5A">
        <w:rPr>
          <w:szCs w:val="19"/>
        </w:rPr>
        <w:t xml:space="preserve"> w 2020 r.</w:t>
      </w:r>
    </w:p>
    <w:p w14:paraId="32F06CDD" w14:textId="4E6FA1C9" w:rsidR="002B2DD2" w:rsidRPr="00413E5A" w:rsidRDefault="002B2DD2" w:rsidP="002B2DD2">
      <w:pPr>
        <w:spacing w:before="0" w:after="160"/>
        <w:rPr>
          <w:szCs w:val="19"/>
        </w:rPr>
      </w:pPr>
    </w:p>
    <w:p w14:paraId="4C8D15DA" w14:textId="09AA8373" w:rsidR="002B2DD2" w:rsidRPr="00413E5A" w:rsidRDefault="002B2DD2" w:rsidP="002B2DD2">
      <w:pPr>
        <w:spacing w:before="0" w:after="160"/>
        <w:rPr>
          <w:b/>
          <w:sz w:val="18"/>
          <w:szCs w:val="18"/>
        </w:rPr>
      </w:pPr>
      <w:r w:rsidRPr="00413E5A">
        <w:rPr>
          <w:rFonts w:asciiTheme="minorHAnsi" w:hAnsiTheme="minorHAnsi"/>
          <w:b/>
          <w:noProof/>
          <w:sz w:val="18"/>
          <w:szCs w:val="18"/>
          <w:lang w:eastAsia="pl-PL"/>
        </w:rPr>
        <w:drawing>
          <wp:anchor distT="0" distB="0" distL="114300" distR="114300" simplePos="0" relativeHeight="251743232" behindDoc="0" locked="0" layoutInCell="1" allowOverlap="1" wp14:anchorId="715FDEDA" wp14:editId="1ED42898">
            <wp:simplePos x="0" y="0"/>
            <wp:positionH relativeFrom="margin">
              <wp:posOffset>53340</wp:posOffset>
            </wp:positionH>
            <wp:positionV relativeFrom="paragraph">
              <wp:posOffset>266700</wp:posOffset>
            </wp:positionV>
            <wp:extent cx="4977130" cy="2141220"/>
            <wp:effectExtent l="0" t="0" r="8255" b="3810"/>
            <wp:wrapSquare wrapText="bothSides"/>
            <wp:docPr id="11" name="Wykres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Pr="00413E5A">
        <w:rPr>
          <w:b/>
          <w:sz w:val="18"/>
          <w:szCs w:val="18"/>
        </w:rPr>
        <w:t>Wykres 2. Średnia powierzchnia użytków rolnych</w:t>
      </w:r>
      <w:r w:rsidR="007B7CB0">
        <w:rPr>
          <w:b/>
          <w:sz w:val="18"/>
          <w:szCs w:val="18"/>
        </w:rPr>
        <w:t xml:space="preserve"> (</w:t>
      </w:r>
      <w:r w:rsidR="00811D7C">
        <w:rPr>
          <w:b/>
          <w:sz w:val="18"/>
          <w:szCs w:val="18"/>
        </w:rPr>
        <w:t xml:space="preserve">w </w:t>
      </w:r>
      <w:r w:rsidR="007B7CB0">
        <w:rPr>
          <w:b/>
          <w:sz w:val="18"/>
          <w:szCs w:val="18"/>
        </w:rPr>
        <w:t xml:space="preserve">ha) </w:t>
      </w:r>
      <w:r w:rsidRPr="00413E5A">
        <w:rPr>
          <w:b/>
          <w:sz w:val="18"/>
          <w:szCs w:val="18"/>
        </w:rPr>
        <w:t>w gospodarstwie rolnym</w:t>
      </w:r>
    </w:p>
    <w:p w14:paraId="37D7E0F9" w14:textId="7FBBBFBA" w:rsidR="002B2DD2" w:rsidRPr="0027611D" w:rsidRDefault="002B2DD2" w:rsidP="002B2DD2">
      <w:pPr>
        <w:rPr>
          <w:szCs w:val="19"/>
        </w:rPr>
      </w:pPr>
      <w:r w:rsidRPr="0027611D">
        <w:rPr>
          <w:szCs w:val="19"/>
        </w:rPr>
        <w:t xml:space="preserve">Na przestrzeni ostatnich lat obserwuje się tendencję zmniejszania się liczby gospodarstw rolnych, przy jednoczesnym wzroście ich średniej powierzchni. </w:t>
      </w:r>
    </w:p>
    <w:p w14:paraId="6FDE6F18" w14:textId="1A3DB3DD" w:rsidR="002B2DD2" w:rsidRPr="0027611D" w:rsidRDefault="002B2DD2" w:rsidP="002B2DD2">
      <w:pPr>
        <w:rPr>
          <w:szCs w:val="19"/>
        </w:rPr>
      </w:pPr>
      <w:r w:rsidRPr="0027611D">
        <w:rPr>
          <w:szCs w:val="19"/>
        </w:rPr>
        <w:t xml:space="preserve">Spadek liczby gospodarstw rolnych odnotowano wśród gospodarstw o powierzchni do 15 ha użytków rolnych – o ok. 16%, natomiast wzrost w grupie gospodarstw rolnych o powierzchni </w:t>
      </w:r>
      <w:r w:rsidR="00611BF9">
        <w:rPr>
          <w:szCs w:val="19"/>
        </w:rPr>
        <w:t>użytków rolnych 15 ha i więcej (</w:t>
      </w:r>
      <w:r w:rsidRPr="0027611D">
        <w:rPr>
          <w:szCs w:val="19"/>
        </w:rPr>
        <w:t xml:space="preserve">ok. 6%). </w:t>
      </w:r>
    </w:p>
    <w:p w14:paraId="4358E63A" w14:textId="67F09F53" w:rsidR="002B2DD2" w:rsidRDefault="002B2DD2" w:rsidP="002B2DD2">
      <w:pPr>
        <w:rPr>
          <w:szCs w:val="19"/>
        </w:rPr>
      </w:pPr>
      <w:r w:rsidRPr="0027611D">
        <w:rPr>
          <w:szCs w:val="19"/>
        </w:rPr>
        <w:t xml:space="preserve">Nieznacznej poprawie uległa </w:t>
      </w:r>
      <w:r w:rsidRPr="0027611D">
        <w:rPr>
          <w:b/>
          <w:szCs w:val="19"/>
        </w:rPr>
        <w:t>struktura gospodarstw rolnych</w:t>
      </w:r>
      <w:r w:rsidRPr="0027611D">
        <w:rPr>
          <w:szCs w:val="19"/>
        </w:rPr>
        <w:t>. Zmalał udział gospodarstw najmniejszych o powierzchni do 5 ha użytków rolnych z 54</w:t>
      </w:r>
      <w:r w:rsidR="00732DED">
        <w:rPr>
          <w:szCs w:val="19"/>
        </w:rPr>
        <w:t>,0</w:t>
      </w:r>
      <w:r w:rsidRPr="0027611D">
        <w:rPr>
          <w:szCs w:val="19"/>
        </w:rPr>
        <w:t>% w 2010 r. do 52,5% w 2020 r. (o 1,5</w:t>
      </w:r>
      <w:r w:rsidR="00C54AFE">
        <w:rPr>
          <w:szCs w:val="19"/>
        </w:rPr>
        <w:t xml:space="preserve"> pkt. procentowego</w:t>
      </w:r>
      <w:r w:rsidRPr="0027611D">
        <w:rPr>
          <w:szCs w:val="19"/>
        </w:rPr>
        <w:t>), a jednocześnie wzrósł udział gospodarstw o powierzchni 15 ha i więcej użytków rolnych z 13,0% w 2010 r. do 15,8% w 2020 r. (o 2,8</w:t>
      </w:r>
      <w:r w:rsidR="00C54AFE">
        <w:rPr>
          <w:szCs w:val="19"/>
        </w:rPr>
        <w:t xml:space="preserve"> pkt. procentowego</w:t>
      </w:r>
      <w:r w:rsidRPr="0027611D">
        <w:rPr>
          <w:szCs w:val="19"/>
        </w:rPr>
        <w:t xml:space="preserve">). </w:t>
      </w:r>
    </w:p>
    <w:p w14:paraId="4485184F" w14:textId="3E97EBD3" w:rsidR="002B2DD2" w:rsidRDefault="002B2DD2" w:rsidP="002B2DD2">
      <w:pPr>
        <w:rPr>
          <w:szCs w:val="19"/>
        </w:rPr>
      </w:pPr>
    </w:p>
    <w:p w14:paraId="4102755A" w14:textId="2B2E1CFF" w:rsidR="002B2DD2" w:rsidRPr="0027611D" w:rsidRDefault="002B2DD2" w:rsidP="002B2DD2">
      <w:pPr>
        <w:numPr>
          <w:ilvl w:val="0"/>
          <w:numId w:val="5"/>
        </w:numPr>
        <w:spacing w:before="0"/>
        <w:ind w:left="284" w:hanging="284"/>
        <w:rPr>
          <w:rFonts w:ascii="Fira Sans SemiBold" w:eastAsia="Times New Roman" w:hAnsi="Fira Sans SemiBold" w:cs="Times New Roman"/>
          <w:b/>
          <w:color w:val="008542"/>
          <w:szCs w:val="19"/>
          <w:lang w:eastAsia="pl-PL"/>
        </w:rPr>
      </w:pPr>
      <w:r w:rsidRPr="0027611D">
        <w:rPr>
          <w:rFonts w:ascii="Fira Sans SemiBold" w:eastAsia="Times New Roman" w:hAnsi="Fira Sans SemiBold" w:cs="Times New Roman"/>
          <w:b/>
          <w:color w:val="008542"/>
          <w:szCs w:val="19"/>
          <w:lang w:eastAsia="pl-PL"/>
        </w:rPr>
        <w:t>Użytkowanie gruntów</w:t>
      </w:r>
    </w:p>
    <w:p w14:paraId="165CD1B1" w14:textId="243B9B3C" w:rsidR="002B2DD2" w:rsidRPr="0027611D" w:rsidRDefault="002B2DD2" w:rsidP="002B2DD2">
      <w:pPr>
        <w:rPr>
          <w:rFonts w:eastAsia="Times New Roman" w:cs="Times New Roman"/>
          <w:szCs w:val="19"/>
          <w:lang w:eastAsia="pl-PL"/>
        </w:rPr>
      </w:pPr>
      <w:r w:rsidRPr="0027611D">
        <w:rPr>
          <w:rFonts w:eastAsia="Times New Roman" w:cs="Times New Roman"/>
          <w:szCs w:val="19"/>
          <w:lang w:eastAsia="pl-PL"/>
        </w:rPr>
        <w:t xml:space="preserve">Według wstępnych wyników Powszechnego Spisu Rolnego w 2020 r. </w:t>
      </w:r>
      <w:r w:rsidRPr="00CD10E2">
        <w:rPr>
          <w:rFonts w:eastAsia="Times New Roman" w:cs="Times New Roman"/>
          <w:b/>
          <w:szCs w:val="19"/>
          <w:lang w:eastAsia="pl-PL"/>
        </w:rPr>
        <w:t>powierzchnia użytków rolnych</w:t>
      </w:r>
      <w:r w:rsidRPr="0027611D">
        <w:rPr>
          <w:rFonts w:eastAsia="Times New Roman" w:cs="Times New Roman"/>
          <w:szCs w:val="19"/>
          <w:lang w:eastAsia="pl-PL"/>
        </w:rPr>
        <w:t xml:space="preserve"> ogółem w gospodarstwach rolnych wyniosła ok. </w:t>
      </w:r>
      <w:r w:rsidRPr="0027611D">
        <w:rPr>
          <w:rFonts w:eastAsia="Times New Roman" w:cs="Times New Roman"/>
          <w:b/>
          <w:szCs w:val="19"/>
          <w:lang w:eastAsia="pl-PL"/>
        </w:rPr>
        <w:t>14</w:t>
      </w:r>
      <w:r w:rsidR="00B77414">
        <w:rPr>
          <w:rFonts w:eastAsia="Times New Roman" w:cs="Times New Roman"/>
          <w:b/>
          <w:szCs w:val="19"/>
          <w:lang w:eastAsia="pl-PL"/>
        </w:rPr>
        <w:t xml:space="preserve"> </w:t>
      </w:r>
      <w:r w:rsidRPr="0027611D">
        <w:rPr>
          <w:rFonts w:eastAsia="Times New Roman" w:cs="Times New Roman"/>
          <w:b/>
          <w:szCs w:val="19"/>
          <w:lang w:eastAsia="pl-PL"/>
        </w:rPr>
        <w:t>637 tys. ha</w:t>
      </w:r>
      <w:r w:rsidR="00B77414">
        <w:rPr>
          <w:rFonts w:eastAsia="Times New Roman" w:cs="Times New Roman"/>
          <w:szCs w:val="19"/>
          <w:lang w:eastAsia="pl-PL"/>
        </w:rPr>
        <w:t>.</w:t>
      </w:r>
    </w:p>
    <w:p w14:paraId="01E53E88" w14:textId="151D1DC7" w:rsidR="002B2DD2" w:rsidRDefault="002B2DD2" w:rsidP="002B2DD2">
      <w:pPr>
        <w:rPr>
          <w:rFonts w:eastAsia="Times New Roman" w:cs="Times New Roman"/>
          <w:szCs w:val="19"/>
          <w:lang w:eastAsia="pl-PL"/>
        </w:rPr>
      </w:pPr>
      <w:r w:rsidRPr="0027611D">
        <w:rPr>
          <w:rFonts w:eastAsia="Times New Roman" w:cs="Times New Roman"/>
          <w:szCs w:val="19"/>
          <w:lang w:eastAsia="pl-PL"/>
        </w:rPr>
        <w:t>W ciągu ostatnich 10 lat, tj. od Powszechnego Spisu Rolnego w 2010 r.</w:t>
      </w:r>
      <w:r w:rsidR="00732DED">
        <w:rPr>
          <w:rFonts w:eastAsia="Times New Roman" w:cs="Times New Roman"/>
          <w:szCs w:val="19"/>
          <w:lang w:eastAsia="pl-PL"/>
        </w:rPr>
        <w:t>,</w:t>
      </w:r>
      <w:r w:rsidRPr="0027611D">
        <w:rPr>
          <w:rFonts w:eastAsia="Times New Roman" w:cs="Times New Roman"/>
          <w:szCs w:val="19"/>
          <w:lang w:eastAsia="pl-PL"/>
        </w:rPr>
        <w:t xml:space="preserve"> powierzchnia użytków rolnych w gospodarstwach </w:t>
      </w:r>
      <w:r w:rsidR="00C54AFE">
        <w:rPr>
          <w:rFonts w:eastAsia="Times New Roman" w:cs="Times New Roman"/>
          <w:szCs w:val="19"/>
          <w:lang w:eastAsia="pl-PL"/>
        </w:rPr>
        <w:t xml:space="preserve">rolnych zmniejszyła się o ok. </w:t>
      </w:r>
      <w:r w:rsidRPr="0027611D">
        <w:rPr>
          <w:rFonts w:eastAsia="Times New Roman" w:cs="Times New Roman"/>
          <w:szCs w:val="19"/>
          <w:lang w:eastAsia="pl-PL"/>
        </w:rPr>
        <w:t>2</w:t>
      </w:r>
      <w:r w:rsidR="00C54AFE">
        <w:rPr>
          <w:rFonts w:eastAsia="Times New Roman" w:cs="Times New Roman"/>
          <w:szCs w:val="19"/>
          <w:lang w:eastAsia="pl-PL"/>
        </w:rPr>
        <w:t xml:space="preserve">00 tys. </w:t>
      </w:r>
      <w:r w:rsidRPr="0027611D">
        <w:rPr>
          <w:rFonts w:eastAsia="Times New Roman" w:cs="Times New Roman"/>
          <w:szCs w:val="19"/>
          <w:lang w:eastAsia="pl-PL"/>
        </w:rPr>
        <w:t xml:space="preserve">ha (o 1,5%). W stosunku do 2010 r., w 2020 r. powierzchnia zasiewów w tych gospodarstwach zwiększyła się o ok. </w:t>
      </w:r>
      <w:r w:rsidR="00C54AFE">
        <w:rPr>
          <w:rFonts w:eastAsia="Times New Roman" w:cs="Times New Roman"/>
          <w:szCs w:val="19"/>
          <w:lang w:eastAsia="pl-PL"/>
        </w:rPr>
        <w:t xml:space="preserve">340 tys. </w:t>
      </w:r>
      <w:r w:rsidRPr="0027611D">
        <w:rPr>
          <w:rFonts w:eastAsia="Times New Roman" w:cs="Times New Roman"/>
          <w:szCs w:val="19"/>
          <w:lang w:eastAsia="pl-PL"/>
        </w:rPr>
        <w:t>ha (o 3,3%), natomiast zmniejszyła się powierzchnia sadów o ok.</w:t>
      </w:r>
      <w:r w:rsidR="00C54AFE">
        <w:rPr>
          <w:rFonts w:eastAsia="Times New Roman" w:cs="Times New Roman"/>
          <w:szCs w:val="19"/>
          <w:lang w:eastAsia="pl-PL"/>
        </w:rPr>
        <w:t xml:space="preserve"> 50 tys.</w:t>
      </w:r>
      <w:r w:rsidRPr="0027611D">
        <w:rPr>
          <w:rFonts w:eastAsia="Times New Roman" w:cs="Times New Roman"/>
          <w:szCs w:val="19"/>
          <w:lang w:eastAsia="pl-PL"/>
        </w:rPr>
        <w:t xml:space="preserve"> ha (o ok. 14%) i trwałych użytków zielonych o ok. </w:t>
      </w:r>
      <w:r w:rsidR="00C54AFE">
        <w:rPr>
          <w:rFonts w:eastAsia="Times New Roman" w:cs="Times New Roman"/>
          <w:szCs w:val="19"/>
          <w:lang w:eastAsia="pl-PL"/>
        </w:rPr>
        <w:t>45 tys.</w:t>
      </w:r>
      <w:r w:rsidRPr="0027611D">
        <w:rPr>
          <w:rFonts w:eastAsia="Times New Roman" w:cs="Times New Roman"/>
          <w:szCs w:val="19"/>
          <w:lang w:eastAsia="pl-PL"/>
        </w:rPr>
        <w:t xml:space="preserve"> ha (o 1,4%).</w:t>
      </w:r>
    </w:p>
    <w:p w14:paraId="49721A7D" w14:textId="7B1BC1BC" w:rsidR="00F64F1A" w:rsidRDefault="00A441EC" w:rsidP="00F64F1A">
      <w:pPr>
        <w:spacing w:after="160"/>
        <w:rPr>
          <w:b/>
          <w:sz w:val="18"/>
          <w:szCs w:val="18"/>
        </w:rPr>
      </w:pPr>
      <w:r w:rsidRPr="000D35A9">
        <w:rPr>
          <w:noProof/>
          <w:color w:val="000000" w:themeColor="text1"/>
          <w:lang w:eastAsia="pl-PL"/>
        </w:rPr>
        <w:drawing>
          <wp:anchor distT="0" distB="0" distL="114300" distR="114300" simplePos="0" relativeHeight="251755520" behindDoc="0" locked="0" layoutInCell="1" allowOverlap="1" wp14:anchorId="54D6B208" wp14:editId="02FCF5BA">
            <wp:simplePos x="0" y="0"/>
            <wp:positionH relativeFrom="margin">
              <wp:posOffset>50800</wp:posOffset>
            </wp:positionH>
            <wp:positionV relativeFrom="paragraph">
              <wp:posOffset>219075</wp:posOffset>
            </wp:positionV>
            <wp:extent cx="4927600" cy="2757805"/>
            <wp:effectExtent l="0" t="0" r="4445" b="0"/>
            <wp:wrapSquare wrapText="bothSides"/>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F64F1A" w:rsidRPr="0027611D">
        <w:rPr>
          <w:b/>
          <w:sz w:val="18"/>
          <w:szCs w:val="18"/>
        </w:rPr>
        <w:t xml:space="preserve">Wykres 3. </w:t>
      </w:r>
      <w:r w:rsidR="009C4523" w:rsidRPr="0027611D">
        <w:rPr>
          <w:b/>
          <w:sz w:val="18"/>
          <w:szCs w:val="18"/>
        </w:rPr>
        <w:t>Powierzchnia głównych kategorii użytków rolnych w dobrej kulturze</w:t>
      </w:r>
      <w:r w:rsidR="009C4523">
        <w:rPr>
          <w:b/>
          <w:sz w:val="18"/>
          <w:szCs w:val="18"/>
        </w:rPr>
        <w:t xml:space="preserve"> w tys. ha</w:t>
      </w:r>
    </w:p>
    <w:p w14:paraId="529CA8F8" w14:textId="69479B3F" w:rsidR="002B2DD2" w:rsidRPr="0027611D" w:rsidRDefault="002B2DD2" w:rsidP="002B2DD2">
      <w:pPr>
        <w:rPr>
          <w:rFonts w:eastAsia="Times New Roman" w:cs="Times New Roman"/>
          <w:szCs w:val="19"/>
          <w:lang w:eastAsia="pl-PL"/>
        </w:rPr>
      </w:pPr>
    </w:p>
    <w:p w14:paraId="7C00306E" w14:textId="384E90C3" w:rsidR="002B2DD2" w:rsidRDefault="002B2DD2" w:rsidP="002B2DD2">
      <w:pPr>
        <w:rPr>
          <w:rFonts w:eastAsia="Times New Roman" w:cs="Times New Roman"/>
          <w:szCs w:val="19"/>
          <w:lang w:eastAsia="pl-PL"/>
        </w:rPr>
      </w:pPr>
      <w:r w:rsidRPr="0027611D">
        <w:rPr>
          <w:rFonts w:eastAsia="Times New Roman" w:cs="Times New Roman"/>
          <w:szCs w:val="19"/>
          <w:lang w:eastAsia="pl-PL"/>
        </w:rPr>
        <w:t>W strukturze użytków rolnych, udział powierzchni zasiewów wyniósł 73,2% i w porównaniu do 2010 r. zwiększył się o 3,4 pkt. procentowego, udział powierzchni trwałych użytków zielonych wyniósł 21,8% i zwiększył się o 0,1 pkt. procentowego, natomiast odsetek sadów wyniósł 2,1% i zmniejszył się o 0,3 pkt. procentowego.</w:t>
      </w:r>
    </w:p>
    <w:p w14:paraId="618DFB78" w14:textId="3DB9A8CC" w:rsidR="001F05CD" w:rsidRPr="0027611D" w:rsidRDefault="001F05CD" w:rsidP="002B2DD2">
      <w:pPr>
        <w:rPr>
          <w:rFonts w:eastAsia="Times New Roman" w:cs="Times New Roman"/>
          <w:szCs w:val="19"/>
          <w:lang w:eastAsia="pl-PL"/>
        </w:rPr>
      </w:pPr>
    </w:p>
    <w:p w14:paraId="214EA10B" w14:textId="35BA3D3E" w:rsidR="002B2DD2" w:rsidRPr="0027611D" w:rsidRDefault="002B2DD2" w:rsidP="002B2DD2">
      <w:pPr>
        <w:keepNext/>
        <w:numPr>
          <w:ilvl w:val="0"/>
          <w:numId w:val="5"/>
        </w:numPr>
        <w:spacing w:before="0"/>
        <w:ind w:left="284" w:hanging="284"/>
        <w:outlineLvl w:val="0"/>
        <w:rPr>
          <w:rFonts w:ascii="Fira Sans SemiBold" w:eastAsia="Times New Roman" w:hAnsi="Fira Sans SemiBold" w:cs="Times New Roman"/>
          <w:b/>
          <w:bCs/>
          <w:color w:val="008542"/>
          <w:szCs w:val="19"/>
          <w:lang w:eastAsia="pl-PL"/>
        </w:rPr>
      </w:pPr>
      <w:r w:rsidRPr="0027611D">
        <w:rPr>
          <w:rFonts w:ascii="Fira Sans SemiBold" w:eastAsia="Times New Roman" w:hAnsi="Fira Sans SemiBold" w:cs="Times New Roman"/>
          <w:b/>
          <w:bCs/>
          <w:color w:val="008542"/>
          <w:szCs w:val="19"/>
          <w:lang w:eastAsia="pl-PL"/>
        </w:rPr>
        <w:t>Powierzchnia zasiewów</w:t>
      </w:r>
    </w:p>
    <w:p w14:paraId="6084EB60" w14:textId="55242C11" w:rsidR="002B2DD2" w:rsidRPr="0027611D" w:rsidRDefault="002B2DD2" w:rsidP="002B2DD2">
      <w:pPr>
        <w:rPr>
          <w:rFonts w:eastAsia="Times New Roman" w:cs="Times New Roman"/>
          <w:szCs w:val="19"/>
          <w:lang w:eastAsia="pl-PL"/>
        </w:rPr>
      </w:pPr>
      <w:r w:rsidRPr="0027611D">
        <w:rPr>
          <w:rFonts w:eastAsia="Times New Roman" w:cs="Times New Roman"/>
          <w:szCs w:val="19"/>
          <w:lang w:eastAsia="pl-PL"/>
        </w:rPr>
        <w:t xml:space="preserve">Wstępne wyniki spisu rolnego pokazują, że ogólna </w:t>
      </w:r>
      <w:r w:rsidRPr="00CD10E2">
        <w:rPr>
          <w:rFonts w:eastAsia="Times New Roman" w:cs="Times New Roman"/>
          <w:b/>
          <w:szCs w:val="19"/>
          <w:lang w:eastAsia="pl-PL"/>
        </w:rPr>
        <w:t>powierzchnia zasiewów</w:t>
      </w:r>
      <w:r w:rsidRPr="0027611D">
        <w:rPr>
          <w:rFonts w:eastAsia="Times New Roman" w:cs="Times New Roman"/>
          <w:szCs w:val="19"/>
          <w:lang w:eastAsia="pl-PL"/>
        </w:rPr>
        <w:t xml:space="preserve"> w gospodarstwach rolnych w 2020 r. wyniosła ponad </w:t>
      </w:r>
      <w:r w:rsidRPr="0027611D">
        <w:rPr>
          <w:rFonts w:eastAsia="Times New Roman" w:cs="Times New Roman"/>
          <w:b/>
          <w:szCs w:val="19"/>
          <w:lang w:eastAsia="pl-PL"/>
        </w:rPr>
        <w:t>10</w:t>
      </w:r>
      <w:r w:rsidR="00B77414">
        <w:rPr>
          <w:rFonts w:eastAsia="Times New Roman" w:cs="Times New Roman"/>
          <w:b/>
          <w:szCs w:val="19"/>
          <w:lang w:eastAsia="pl-PL"/>
        </w:rPr>
        <w:t xml:space="preserve"> </w:t>
      </w:r>
      <w:r w:rsidRPr="0027611D">
        <w:rPr>
          <w:rFonts w:eastAsia="Times New Roman" w:cs="Times New Roman"/>
          <w:b/>
          <w:szCs w:val="19"/>
          <w:lang w:eastAsia="pl-PL"/>
        </w:rPr>
        <w:t>7</w:t>
      </w:r>
      <w:r w:rsidR="00284F11">
        <w:rPr>
          <w:rFonts w:eastAsia="Times New Roman" w:cs="Times New Roman"/>
          <w:b/>
          <w:szCs w:val="19"/>
          <w:lang w:eastAsia="pl-PL"/>
        </w:rPr>
        <w:t>07</w:t>
      </w:r>
      <w:r w:rsidRPr="0027611D">
        <w:rPr>
          <w:rFonts w:eastAsia="Times New Roman" w:cs="Times New Roman"/>
          <w:b/>
          <w:szCs w:val="19"/>
          <w:lang w:eastAsia="pl-PL"/>
        </w:rPr>
        <w:t xml:space="preserve"> </w:t>
      </w:r>
      <w:r w:rsidR="0019680A">
        <w:rPr>
          <w:rFonts w:eastAsia="Times New Roman" w:cs="Times New Roman"/>
          <w:b/>
          <w:szCs w:val="19"/>
          <w:lang w:eastAsia="pl-PL"/>
        </w:rPr>
        <w:t>tys.</w:t>
      </w:r>
      <w:r w:rsidRPr="0027611D">
        <w:rPr>
          <w:rFonts w:eastAsia="Times New Roman" w:cs="Times New Roman"/>
          <w:b/>
          <w:szCs w:val="19"/>
          <w:lang w:eastAsia="pl-PL"/>
        </w:rPr>
        <w:t xml:space="preserve"> ha</w:t>
      </w:r>
      <w:r w:rsidRPr="0027611D">
        <w:rPr>
          <w:rFonts w:eastAsia="Times New Roman" w:cs="Times New Roman"/>
          <w:szCs w:val="19"/>
          <w:lang w:eastAsia="pl-PL"/>
        </w:rPr>
        <w:t xml:space="preserve"> i była większa o ok</w:t>
      </w:r>
      <w:r w:rsidRPr="00CD10E2">
        <w:rPr>
          <w:rFonts w:eastAsia="Times New Roman" w:cs="Times New Roman"/>
          <w:szCs w:val="19"/>
          <w:lang w:eastAsia="pl-PL"/>
        </w:rPr>
        <w:t>. 3</w:t>
      </w:r>
      <w:r w:rsidR="0019680A" w:rsidRPr="00CD10E2">
        <w:rPr>
          <w:rFonts w:eastAsia="Times New Roman" w:cs="Times New Roman"/>
          <w:szCs w:val="19"/>
          <w:lang w:eastAsia="pl-PL"/>
        </w:rPr>
        <w:t>40 tys.</w:t>
      </w:r>
      <w:r w:rsidRPr="00CD10E2">
        <w:rPr>
          <w:rFonts w:eastAsia="Times New Roman" w:cs="Times New Roman"/>
          <w:szCs w:val="19"/>
          <w:lang w:eastAsia="pl-PL"/>
        </w:rPr>
        <w:t xml:space="preserve"> ha</w:t>
      </w:r>
      <w:r w:rsidRPr="0027611D">
        <w:rPr>
          <w:rFonts w:eastAsia="Times New Roman" w:cs="Times New Roman"/>
          <w:szCs w:val="19"/>
          <w:lang w:eastAsia="pl-PL"/>
        </w:rPr>
        <w:t xml:space="preserve"> w porównaniu z 2010 r. W strukturze zasiewów nadal dominującą up</w:t>
      </w:r>
      <w:r w:rsidR="00CD10E2">
        <w:rPr>
          <w:rFonts w:eastAsia="Times New Roman" w:cs="Times New Roman"/>
          <w:szCs w:val="19"/>
          <w:lang w:eastAsia="pl-PL"/>
        </w:rPr>
        <w:t xml:space="preserve">rawą są </w:t>
      </w:r>
      <w:r w:rsidR="00CD10E2" w:rsidRPr="00CD10E2">
        <w:rPr>
          <w:rFonts w:eastAsia="Times New Roman" w:cs="Times New Roman"/>
          <w:b/>
          <w:szCs w:val="19"/>
          <w:lang w:eastAsia="pl-PL"/>
        </w:rPr>
        <w:t>zboża ogółem</w:t>
      </w:r>
      <w:r w:rsidR="00CD10E2">
        <w:rPr>
          <w:rFonts w:eastAsia="Times New Roman" w:cs="Times New Roman"/>
          <w:szCs w:val="19"/>
          <w:lang w:eastAsia="pl-PL"/>
        </w:rPr>
        <w:t xml:space="preserve"> (ok. 70%), których powierzchnia</w:t>
      </w:r>
      <w:r w:rsidRPr="0027611D">
        <w:rPr>
          <w:rFonts w:eastAsia="Times New Roman" w:cs="Times New Roman"/>
          <w:szCs w:val="19"/>
          <w:lang w:eastAsia="pl-PL"/>
        </w:rPr>
        <w:t xml:space="preserve"> uprawy wyniosła o</w:t>
      </w:r>
      <w:r w:rsidRPr="00CD10E2">
        <w:rPr>
          <w:rFonts w:eastAsia="Times New Roman" w:cs="Times New Roman"/>
          <w:szCs w:val="19"/>
          <w:lang w:eastAsia="pl-PL"/>
        </w:rPr>
        <w:t>k.</w:t>
      </w:r>
      <w:r w:rsidRPr="00CD10E2">
        <w:rPr>
          <w:rFonts w:eastAsia="Times New Roman" w:cs="Times New Roman"/>
          <w:b/>
          <w:szCs w:val="19"/>
          <w:lang w:eastAsia="pl-PL"/>
        </w:rPr>
        <w:t xml:space="preserve"> 7</w:t>
      </w:r>
      <w:r w:rsidR="00B77414" w:rsidRPr="00CD10E2">
        <w:rPr>
          <w:rFonts w:eastAsia="Times New Roman" w:cs="Times New Roman"/>
          <w:b/>
          <w:szCs w:val="19"/>
          <w:lang w:eastAsia="pl-PL"/>
        </w:rPr>
        <w:t xml:space="preserve"> </w:t>
      </w:r>
      <w:r w:rsidR="0019680A" w:rsidRPr="00CD10E2">
        <w:rPr>
          <w:rFonts w:eastAsia="Times New Roman" w:cs="Times New Roman"/>
          <w:b/>
          <w:szCs w:val="19"/>
          <w:lang w:eastAsia="pl-PL"/>
        </w:rPr>
        <w:t xml:space="preserve">377 tys. </w:t>
      </w:r>
      <w:r w:rsidRPr="00CD10E2">
        <w:rPr>
          <w:rFonts w:eastAsia="Times New Roman" w:cs="Times New Roman"/>
          <w:b/>
          <w:szCs w:val="19"/>
          <w:lang w:eastAsia="pl-PL"/>
        </w:rPr>
        <w:t>ha</w:t>
      </w:r>
      <w:r w:rsidRPr="0027611D">
        <w:rPr>
          <w:rFonts w:eastAsia="Times New Roman" w:cs="Times New Roman"/>
          <w:szCs w:val="19"/>
          <w:lang w:eastAsia="pl-PL"/>
        </w:rPr>
        <w:t xml:space="preserve">. </w:t>
      </w:r>
    </w:p>
    <w:p w14:paraId="6646AD8C" w14:textId="5736BC6B" w:rsidR="002B2DD2" w:rsidRDefault="002B2DD2" w:rsidP="002B2DD2">
      <w:pPr>
        <w:rPr>
          <w:rFonts w:eastAsia="Times New Roman" w:cs="Times New Roman"/>
          <w:szCs w:val="19"/>
          <w:lang w:eastAsia="pl-PL"/>
        </w:rPr>
      </w:pPr>
      <w:r w:rsidRPr="0027611D">
        <w:rPr>
          <w:rFonts w:eastAsia="Times New Roman" w:cs="Times New Roman"/>
          <w:szCs w:val="19"/>
          <w:lang w:eastAsia="pl-PL"/>
        </w:rPr>
        <w:t>Porównując lata ubiegłe do danych z 2020 roku możemy zaobserwować pewne zmiany w strukturze zasiewów poszczególnych upraw. W porównaniu do 2010 r. zmniejszył się udział zbóż ogółem o 4,5 pkt. procentowego i ziemniaków o 1,5 pkt.</w:t>
      </w:r>
      <w:r w:rsidR="00171A39">
        <w:rPr>
          <w:rFonts w:eastAsia="Times New Roman" w:cs="Times New Roman"/>
          <w:szCs w:val="19"/>
          <w:lang w:eastAsia="pl-PL"/>
        </w:rPr>
        <w:t xml:space="preserve"> procentowego, udział rzepaku i </w:t>
      </w:r>
      <w:r w:rsidRPr="0027611D">
        <w:rPr>
          <w:rFonts w:eastAsia="Times New Roman" w:cs="Times New Roman"/>
          <w:szCs w:val="19"/>
          <w:lang w:eastAsia="pl-PL"/>
        </w:rPr>
        <w:t>rzepiku oraz warzyw gruntowych pozostał na niezmienionym poziomie, natomiast zwiększył się udział buraków cukrowych o 0,3 pkt. procentowego.</w:t>
      </w:r>
    </w:p>
    <w:p w14:paraId="407CAE60" w14:textId="445AEBB4" w:rsidR="002B2DD2" w:rsidRDefault="002B2DD2" w:rsidP="002B2DD2">
      <w:pPr>
        <w:spacing w:before="0" w:after="160"/>
        <w:rPr>
          <w:b/>
          <w:sz w:val="18"/>
          <w:szCs w:val="18"/>
        </w:rPr>
      </w:pPr>
    </w:p>
    <w:p w14:paraId="0A3A5C8A" w14:textId="76AF975E" w:rsidR="002B2DD2" w:rsidRPr="0027611D" w:rsidRDefault="00125160" w:rsidP="002B2DD2">
      <w:pPr>
        <w:spacing w:before="0" w:after="160"/>
        <w:rPr>
          <w:b/>
          <w:sz w:val="18"/>
          <w:szCs w:val="18"/>
        </w:rPr>
      </w:pPr>
      <w:r w:rsidRPr="00281865">
        <w:rPr>
          <w:b/>
          <w:noProof/>
          <w:sz w:val="18"/>
          <w:szCs w:val="18"/>
          <w:lang w:eastAsia="pl-PL"/>
        </w:rPr>
        <w:drawing>
          <wp:anchor distT="0" distB="0" distL="114300" distR="114300" simplePos="0" relativeHeight="251747328" behindDoc="0" locked="0" layoutInCell="1" allowOverlap="1" wp14:anchorId="1E1AED65" wp14:editId="725D6CC3">
            <wp:simplePos x="0" y="0"/>
            <wp:positionH relativeFrom="margin">
              <wp:align>left</wp:align>
            </wp:positionH>
            <wp:positionV relativeFrom="paragraph">
              <wp:posOffset>196850</wp:posOffset>
            </wp:positionV>
            <wp:extent cx="5008880" cy="2854325"/>
            <wp:effectExtent l="0" t="0" r="1270" b="3175"/>
            <wp:wrapSquare wrapText="bothSides"/>
            <wp:docPr id="20" name="Wykres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002B2DD2" w:rsidRPr="0027611D">
        <w:rPr>
          <w:b/>
          <w:sz w:val="18"/>
          <w:szCs w:val="18"/>
        </w:rPr>
        <w:t>Wykres 4. Powierzchnia zasiewów głównych upraw</w:t>
      </w:r>
      <w:r w:rsidR="003B7259">
        <w:rPr>
          <w:b/>
          <w:sz w:val="18"/>
          <w:szCs w:val="18"/>
        </w:rPr>
        <w:t xml:space="preserve"> w tys. ha</w:t>
      </w:r>
    </w:p>
    <w:p w14:paraId="6B7D7750" w14:textId="77777777" w:rsidR="00B77414" w:rsidRDefault="00B77414" w:rsidP="00CC1717">
      <w:pPr>
        <w:widowControl w:val="0"/>
        <w:spacing w:before="0"/>
        <w:ind w:left="284"/>
        <w:rPr>
          <w:rFonts w:ascii="Fira Sans SemiBold" w:eastAsia="Times New Roman" w:hAnsi="Fira Sans SemiBold" w:cs="Times New Roman"/>
          <w:b/>
          <w:color w:val="008542"/>
          <w:szCs w:val="19"/>
          <w:lang w:eastAsia="pl-PL"/>
        </w:rPr>
      </w:pPr>
    </w:p>
    <w:p w14:paraId="475719EB" w14:textId="77777777" w:rsidR="00B77414" w:rsidRDefault="00B77414" w:rsidP="00B77414">
      <w:pPr>
        <w:widowControl w:val="0"/>
        <w:spacing w:before="0"/>
        <w:rPr>
          <w:rFonts w:ascii="Fira Sans SemiBold" w:eastAsia="Times New Roman" w:hAnsi="Fira Sans SemiBold" w:cs="Times New Roman"/>
          <w:b/>
          <w:color w:val="008542"/>
          <w:szCs w:val="19"/>
          <w:lang w:eastAsia="pl-PL"/>
        </w:rPr>
      </w:pPr>
    </w:p>
    <w:p w14:paraId="69219A01" w14:textId="0CF7925F" w:rsidR="002B2DD2" w:rsidRPr="0027611D" w:rsidRDefault="00234009" w:rsidP="002B2DD2">
      <w:pPr>
        <w:widowControl w:val="0"/>
        <w:numPr>
          <w:ilvl w:val="0"/>
          <w:numId w:val="5"/>
        </w:numPr>
        <w:spacing w:before="0"/>
        <w:ind w:left="284" w:hanging="284"/>
        <w:rPr>
          <w:rFonts w:ascii="Fira Sans SemiBold" w:eastAsia="Times New Roman" w:hAnsi="Fira Sans SemiBold" w:cs="Times New Roman"/>
          <w:b/>
          <w:color w:val="008542"/>
          <w:szCs w:val="19"/>
          <w:lang w:eastAsia="pl-PL"/>
        </w:rPr>
      </w:pPr>
      <w:r w:rsidRPr="0027611D">
        <w:rPr>
          <w:noProof/>
          <w:spacing w:val="-4"/>
          <w:szCs w:val="19"/>
          <w:lang w:eastAsia="pl-PL"/>
        </w:rPr>
        <mc:AlternateContent>
          <mc:Choice Requires="wps">
            <w:drawing>
              <wp:anchor distT="45720" distB="45720" distL="114300" distR="114300" simplePos="0" relativeHeight="251744256" behindDoc="1" locked="0" layoutInCell="1" allowOverlap="1" wp14:anchorId="6FC01762" wp14:editId="082DE015">
                <wp:simplePos x="0" y="0"/>
                <wp:positionH relativeFrom="page">
                  <wp:posOffset>5740400</wp:posOffset>
                </wp:positionH>
                <wp:positionV relativeFrom="paragraph">
                  <wp:posOffset>238125</wp:posOffset>
                </wp:positionV>
                <wp:extent cx="1757045" cy="702945"/>
                <wp:effectExtent l="0" t="0" r="0" b="1905"/>
                <wp:wrapTight wrapText="bothSides">
                  <wp:wrapPolygon edited="0">
                    <wp:start x="703" y="0"/>
                    <wp:lineTo x="703" y="21073"/>
                    <wp:lineTo x="20843" y="21073"/>
                    <wp:lineTo x="20843" y="0"/>
                    <wp:lineTo x="703" y="0"/>
                  </wp:wrapPolygon>
                </wp:wrapTight>
                <wp:docPr id="14" name="Pole tekstow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045" cy="702945"/>
                        </a:xfrm>
                        <a:prstGeom prst="rect">
                          <a:avLst/>
                        </a:prstGeom>
                        <a:noFill/>
                        <a:ln w="9525">
                          <a:noFill/>
                          <a:miter lim="800000"/>
                          <a:headEnd/>
                          <a:tailEnd/>
                        </a:ln>
                      </wps:spPr>
                      <wps:txbx>
                        <w:txbxContent>
                          <w:p w14:paraId="731A1EEC" w14:textId="7412A760" w:rsidR="002B2DD2" w:rsidRPr="000375CF" w:rsidRDefault="002B2DD2" w:rsidP="002B2DD2">
                            <w:pPr>
                              <w:spacing w:after="0"/>
                              <w:rPr>
                                <w:rFonts w:eastAsia="Times New Roman" w:cs="Times New Roman"/>
                                <w:bCs/>
                                <w:color w:val="008542"/>
                                <w:sz w:val="18"/>
                                <w:szCs w:val="18"/>
                                <w:lang w:eastAsia="pl-PL"/>
                              </w:rPr>
                            </w:pPr>
                            <w:r w:rsidRPr="000375CF">
                              <w:rPr>
                                <w:rFonts w:eastAsia="Times New Roman" w:cs="Times New Roman"/>
                                <w:bCs/>
                                <w:color w:val="008542"/>
                                <w:sz w:val="18"/>
                                <w:szCs w:val="18"/>
                                <w:lang w:eastAsia="pl-PL"/>
                              </w:rPr>
                              <w:t>Pogłowie bydła wyniosło 6</w:t>
                            </w:r>
                            <w:r w:rsidR="00732DED">
                              <w:rPr>
                                <w:rFonts w:eastAsia="Times New Roman" w:cs="Times New Roman"/>
                                <w:bCs/>
                                <w:color w:val="008542"/>
                                <w:sz w:val="18"/>
                                <w:szCs w:val="18"/>
                                <w:lang w:eastAsia="pl-PL"/>
                              </w:rPr>
                              <w:t> </w:t>
                            </w:r>
                            <w:r w:rsidRPr="000375CF">
                              <w:rPr>
                                <w:rFonts w:eastAsia="Times New Roman" w:cs="Times New Roman"/>
                                <w:bCs/>
                                <w:color w:val="008542"/>
                                <w:sz w:val="18"/>
                                <w:szCs w:val="18"/>
                                <w:lang w:eastAsia="pl-PL"/>
                              </w:rPr>
                              <w:t xml:space="preserve">299 tys. sztuk i było o ok. 10% wyższe niż w 2010 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01762" id="Pole tekstowe 14" o:spid="_x0000_s1030" type="#_x0000_t202" style="position:absolute;left:0;text-align:left;margin-left:452pt;margin-top:18.75pt;width:138.35pt;height:55.35pt;z-index:-25157222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" filled="f" stroked="f">
                <v:textbox>
                  <w:txbxContent>
                    <w:p w14:paraId="731A1EEC" w14:textId="7412A760" w:rsidR="002B2DD2" w:rsidRPr="000375CF" w:rsidRDefault="002B2DD2" w:rsidP="002B2DD2">
                      <w:pPr>
                        <w:spacing w:after="0"/>
                        <w:rPr>
                          <w:rFonts w:eastAsia="Times New Roman" w:cs="Times New Roman"/>
                          <w:bCs/>
                          <w:color w:val="008542"/>
                          <w:sz w:val="18"/>
                          <w:szCs w:val="18"/>
                          <w:lang w:eastAsia="pl-PL"/>
                        </w:rPr>
                      </w:pPr>
                      <w:r w:rsidRPr="000375CF">
                        <w:rPr>
                          <w:rFonts w:eastAsia="Times New Roman" w:cs="Times New Roman"/>
                          <w:bCs/>
                          <w:color w:val="008542"/>
                          <w:sz w:val="18"/>
                          <w:szCs w:val="18"/>
                          <w:lang w:eastAsia="pl-PL"/>
                        </w:rPr>
                        <w:t>Pogłowie bydła wyniosło 6</w:t>
                      </w:r>
                      <w:r w:rsidR="00732DED">
                        <w:rPr>
                          <w:rFonts w:eastAsia="Times New Roman" w:cs="Times New Roman"/>
                          <w:bCs/>
                          <w:color w:val="008542"/>
                          <w:sz w:val="18"/>
                          <w:szCs w:val="18"/>
                          <w:lang w:eastAsia="pl-PL"/>
                        </w:rPr>
                        <w:t> </w:t>
                      </w:r>
                      <w:r w:rsidRPr="000375CF">
                        <w:rPr>
                          <w:rFonts w:eastAsia="Times New Roman" w:cs="Times New Roman"/>
                          <w:bCs/>
                          <w:color w:val="008542"/>
                          <w:sz w:val="18"/>
                          <w:szCs w:val="18"/>
                          <w:lang w:eastAsia="pl-PL"/>
                        </w:rPr>
                        <w:t xml:space="preserve">299 tys. sztuk i było o ok. 10% wyższe niż w 2010 r. </w:t>
                      </w:r>
                    </w:p>
                  </w:txbxContent>
                </v:textbox>
                <w10:wrap type="tight" anchorx="page"/>
              </v:shape>
            </w:pict>
          </mc:Fallback>
        </mc:AlternateContent>
      </w:r>
      <w:r w:rsidR="002B2DD2" w:rsidRPr="0027611D">
        <w:rPr>
          <w:rFonts w:ascii="Fira Sans SemiBold" w:eastAsia="Times New Roman" w:hAnsi="Fira Sans SemiBold" w:cs="Times New Roman"/>
          <w:b/>
          <w:color w:val="008542"/>
          <w:szCs w:val="19"/>
          <w:lang w:eastAsia="pl-PL"/>
        </w:rPr>
        <w:t>Pogłowie zwierząt gospodarskich</w:t>
      </w:r>
    </w:p>
    <w:p w14:paraId="491E0E9A" w14:textId="690C03B8" w:rsidR="002B2DD2" w:rsidRPr="0027611D" w:rsidRDefault="002B2DD2" w:rsidP="002B2DD2">
      <w:pPr>
        <w:rPr>
          <w:szCs w:val="19"/>
        </w:rPr>
      </w:pPr>
      <w:r w:rsidRPr="0027611D">
        <w:rPr>
          <w:szCs w:val="19"/>
        </w:rPr>
        <w:t>Według wstępnych wyników PSR 2020, pogłowie podstawowych gatunków zwierząt gospodarskich w gospodarstwach rolnych wyniosło:</w:t>
      </w:r>
    </w:p>
    <w:p w14:paraId="2122F58D" w14:textId="2E6040A6" w:rsidR="002B2DD2" w:rsidRPr="0027611D" w:rsidRDefault="002B2DD2" w:rsidP="002B2DD2">
      <w:pPr>
        <w:widowControl w:val="0"/>
        <w:numPr>
          <w:ilvl w:val="0"/>
          <w:numId w:val="6"/>
        </w:numPr>
        <w:ind w:left="284" w:hanging="284"/>
        <w:rPr>
          <w:rFonts w:eastAsia="Times New Roman" w:cs="Times New Roman"/>
          <w:szCs w:val="19"/>
          <w:lang w:eastAsia="pl-PL"/>
        </w:rPr>
      </w:pPr>
      <w:r w:rsidRPr="0027611D">
        <w:rPr>
          <w:rFonts w:eastAsia="Times New Roman" w:cs="Times New Roman"/>
          <w:b/>
          <w:szCs w:val="19"/>
          <w:lang w:eastAsia="pl-PL"/>
        </w:rPr>
        <w:t xml:space="preserve">bydła – </w:t>
      </w:r>
      <w:r w:rsidRPr="0027611D">
        <w:rPr>
          <w:b/>
          <w:szCs w:val="19"/>
        </w:rPr>
        <w:t>6</w:t>
      </w:r>
      <w:r w:rsidR="00CC1717">
        <w:rPr>
          <w:b/>
          <w:szCs w:val="19"/>
        </w:rPr>
        <w:t xml:space="preserve"> </w:t>
      </w:r>
      <w:r w:rsidRPr="0027611D">
        <w:rPr>
          <w:b/>
          <w:szCs w:val="19"/>
        </w:rPr>
        <w:t>299 tys</w:t>
      </w:r>
      <w:r w:rsidRPr="0027611D">
        <w:rPr>
          <w:rFonts w:eastAsia="Times New Roman" w:cs="Times New Roman"/>
          <w:b/>
          <w:szCs w:val="19"/>
          <w:lang w:eastAsia="pl-PL"/>
        </w:rPr>
        <w:t>. sztuk</w:t>
      </w:r>
      <w:r w:rsidRPr="0027611D">
        <w:rPr>
          <w:rFonts w:eastAsia="Times New Roman" w:cs="Times New Roman"/>
          <w:szCs w:val="19"/>
          <w:lang w:eastAsia="pl-PL"/>
        </w:rPr>
        <w:t xml:space="preserve"> i </w:t>
      </w:r>
      <w:r w:rsidRPr="0027611D">
        <w:rPr>
          <w:rFonts w:eastAsia="Times New Roman" w:cs="Times New Roman"/>
          <w:b/>
          <w:szCs w:val="19"/>
          <w:lang w:eastAsia="pl-PL"/>
        </w:rPr>
        <w:t>zwiększyło</w:t>
      </w:r>
      <w:r w:rsidRPr="0027611D">
        <w:rPr>
          <w:rFonts w:eastAsia="Times New Roman" w:cs="Times New Roman"/>
          <w:szCs w:val="19"/>
          <w:lang w:eastAsia="pl-PL"/>
        </w:rPr>
        <w:t xml:space="preserve"> </w:t>
      </w:r>
      <w:r w:rsidRPr="0027611D">
        <w:rPr>
          <w:rFonts w:eastAsia="Times New Roman" w:cs="Times New Roman"/>
          <w:b/>
          <w:szCs w:val="19"/>
          <w:lang w:eastAsia="pl-PL"/>
        </w:rPr>
        <w:t>się</w:t>
      </w:r>
      <w:r w:rsidRPr="0027611D">
        <w:rPr>
          <w:rFonts w:eastAsia="Times New Roman" w:cs="Times New Roman"/>
          <w:szCs w:val="19"/>
          <w:lang w:eastAsia="pl-PL"/>
        </w:rPr>
        <w:t xml:space="preserve"> w stosunku do 2010 r. o ponad 550 tys. sztuk (o</w:t>
      </w:r>
      <w:r w:rsidR="00CC1717">
        <w:rPr>
          <w:rFonts w:eastAsia="Times New Roman" w:cs="Times New Roman"/>
          <w:szCs w:val="19"/>
          <w:lang w:eastAsia="pl-PL"/>
        </w:rPr>
        <w:t> </w:t>
      </w:r>
      <w:r w:rsidRPr="0027611D">
        <w:rPr>
          <w:rFonts w:eastAsia="Times New Roman" w:cs="Times New Roman"/>
          <w:szCs w:val="19"/>
          <w:lang w:eastAsia="pl-PL"/>
        </w:rPr>
        <w:t xml:space="preserve">blisko </w:t>
      </w:r>
      <w:r w:rsidRPr="0027611D">
        <w:rPr>
          <w:rFonts w:eastAsia="Times New Roman" w:cs="Times New Roman"/>
          <w:b/>
          <w:szCs w:val="19"/>
          <w:lang w:eastAsia="pl-PL"/>
        </w:rPr>
        <w:t>10%</w:t>
      </w:r>
      <w:r w:rsidRPr="0027611D">
        <w:rPr>
          <w:rFonts w:eastAsia="Times New Roman" w:cs="Times New Roman"/>
          <w:szCs w:val="19"/>
          <w:lang w:eastAsia="pl-PL"/>
        </w:rPr>
        <w:t xml:space="preserve">), </w:t>
      </w:r>
    </w:p>
    <w:p w14:paraId="214669F1" w14:textId="4DF19330" w:rsidR="002B2DD2" w:rsidRPr="00CC1717" w:rsidRDefault="002B2DD2" w:rsidP="00CC1717">
      <w:pPr>
        <w:widowControl w:val="0"/>
        <w:numPr>
          <w:ilvl w:val="0"/>
          <w:numId w:val="6"/>
        </w:numPr>
        <w:ind w:left="284" w:hanging="284"/>
        <w:rPr>
          <w:rFonts w:eastAsia="Times New Roman" w:cs="Times New Roman"/>
          <w:szCs w:val="19"/>
          <w:lang w:eastAsia="pl-PL"/>
        </w:rPr>
      </w:pPr>
      <w:r w:rsidRPr="0027611D">
        <w:rPr>
          <w:rFonts w:eastAsia="Times New Roman" w:cs="Times New Roman"/>
          <w:noProof/>
          <w:spacing w:val="-4"/>
          <w:szCs w:val="19"/>
          <w:lang w:eastAsia="pl-PL"/>
        </w:rPr>
        <mc:AlternateContent>
          <mc:Choice Requires="wps">
            <w:drawing>
              <wp:anchor distT="45720" distB="45720" distL="114300" distR="114300" simplePos="0" relativeHeight="251745280" behindDoc="1" locked="0" layoutInCell="1" allowOverlap="1" wp14:anchorId="44105FE7" wp14:editId="27249FFB">
                <wp:simplePos x="0" y="0"/>
                <wp:positionH relativeFrom="page">
                  <wp:posOffset>5740400</wp:posOffset>
                </wp:positionH>
                <wp:positionV relativeFrom="paragraph">
                  <wp:posOffset>10795</wp:posOffset>
                </wp:positionV>
                <wp:extent cx="1677670" cy="695325"/>
                <wp:effectExtent l="0" t="0" r="0" b="0"/>
                <wp:wrapTight wrapText="bothSides">
                  <wp:wrapPolygon edited="0">
                    <wp:start x="736" y="0"/>
                    <wp:lineTo x="736" y="20712"/>
                    <wp:lineTo x="20848" y="20712"/>
                    <wp:lineTo x="20848" y="0"/>
                    <wp:lineTo x="736" y="0"/>
                  </wp:wrapPolygon>
                </wp:wrapTight>
                <wp:docPr id="15" name="Pole tekstow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7670" cy="695325"/>
                        </a:xfrm>
                        <a:prstGeom prst="rect">
                          <a:avLst/>
                        </a:prstGeom>
                        <a:noFill/>
                        <a:ln w="9525">
                          <a:noFill/>
                          <a:miter lim="800000"/>
                          <a:headEnd/>
                          <a:tailEnd/>
                        </a:ln>
                      </wps:spPr>
                      <wps:txbx>
                        <w:txbxContent>
                          <w:p w14:paraId="302D22E8" w14:textId="65CDC090" w:rsidR="002B2DD2" w:rsidRPr="000375CF" w:rsidRDefault="002B2DD2" w:rsidP="002B2DD2">
                            <w:pPr>
                              <w:spacing w:after="0"/>
                              <w:rPr>
                                <w:rFonts w:eastAsia="Times New Roman" w:cs="Times New Roman"/>
                                <w:bCs/>
                                <w:color w:val="008542"/>
                                <w:sz w:val="18"/>
                                <w:szCs w:val="18"/>
                                <w:lang w:eastAsia="pl-PL"/>
                              </w:rPr>
                            </w:pPr>
                            <w:r w:rsidRPr="000375CF">
                              <w:rPr>
                                <w:rFonts w:eastAsia="Times New Roman" w:cs="Times New Roman"/>
                                <w:bCs/>
                                <w:color w:val="008542"/>
                                <w:sz w:val="18"/>
                                <w:szCs w:val="18"/>
                                <w:lang w:eastAsia="pl-PL"/>
                              </w:rPr>
                              <w:t>Pogłowie świń wyniosło 11</w:t>
                            </w:r>
                            <w:r w:rsidR="00732DED">
                              <w:rPr>
                                <w:rFonts w:eastAsia="Times New Roman" w:cs="Times New Roman"/>
                                <w:bCs/>
                                <w:color w:val="008542"/>
                                <w:sz w:val="18"/>
                                <w:szCs w:val="18"/>
                                <w:lang w:eastAsia="pl-PL"/>
                              </w:rPr>
                              <w:t> </w:t>
                            </w:r>
                            <w:r w:rsidRPr="000375CF">
                              <w:rPr>
                                <w:rFonts w:eastAsia="Times New Roman" w:cs="Times New Roman"/>
                                <w:bCs/>
                                <w:color w:val="008542"/>
                                <w:sz w:val="18"/>
                                <w:szCs w:val="18"/>
                                <w:lang w:eastAsia="pl-PL"/>
                              </w:rPr>
                              <w:t xml:space="preserve">203 tys. sztuk i było o ponad 26% niższe niż w 2010 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105FE7" id="Pole tekstowe 15" o:spid="_x0000_s1031" type="#_x0000_t202" style="position:absolute;left:0;text-align:left;margin-left:452pt;margin-top:.85pt;width:132.1pt;height:54.75pt;z-index:-2515712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" filled="f" stroked="f">
                <v:textbox>
                  <w:txbxContent>
                    <w:p w14:paraId="302D22E8" w14:textId="65CDC090" w:rsidR="002B2DD2" w:rsidRPr="000375CF" w:rsidRDefault="002B2DD2" w:rsidP="002B2DD2">
                      <w:pPr>
                        <w:spacing w:after="0"/>
                        <w:rPr>
                          <w:rFonts w:eastAsia="Times New Roman" w:cs="Times New Roman"/>
                          <w:bCs/>
                          <w:color w:val="008542"/>
                          <w:sz w:val="18"/>
                          <w:szCs w:val="18"/>
                          <w:lang w:eastAsia="pl-PL"/>
                        </w:rPr>
                      </w:pPr>
                      <w:r w:rsidRPr="000375CF">
                        <w:rPr>
                          <w:rFonts w:eastAsia="Times New Roman" w:cs="Times New Roman"/>
                          <w:bCs/>
                          <w:color w:val="008542"/>
                          <w:sz w:val="18"/>
                          <w:szCs w:val="18"/>
                          <w:lang w:eastAsia="pl-PL"/>
                        </w:rPr>
                        <w:t>Pogłowie świń wyniosło 11</w:t>
                      </w:r>
                      <w:r w:rsidR="00732DED">
                        <w:rPr>
                          <w:rFonts w:eastAsia="Times New Roman" w:cs="Times New Roman"/>
                          <w:bCs/>
                          <w:color w:val="008542"/>
                          <w:sz w:val="18"/>
                          <w:szCs w:val="18"/>
                          <w:lang w:eastAsia="pl-PL"/>
                        </w:rPr>
                        <w:t> </w:t>
                      </w:r>
                      <w:r w:rsidRPr="000375CF">
                        <w:rPr>
                          <w:rFonts w:eastAsia="Times New Roman" w:cs="Times New Roman"/>
                          <w:bCs/>
                          <w:color w:val="008542"/>
                          <w:sz w:val="18"/>
                          <w:szCs w:val="18"/>
                          <w:lang w:eastAsia="pl-PL"/>
                        </w:rPr>
                        <w:t xml:space="preserve">203 tys. sztuk i było o ponad 26% niższe niż w 2010 r. </w:t>
                      </w:r>
                    </w:p>
                  </w:txbxContent>
                </v:textbox>
                <w10:wrap type="tight" anchorx="page"/>
              </v:shape>
            </w:pict>
          </mc:Fallback>
        </mc:AlternateContent>
      </w:r>
      <w:r w:rsidRPr="0027611D">
        <w:rPr>
          <w:rFonts w:eastAsia="Times New Roman" w:cs="Times New Roman"/>
          <w:b/>
          <w:szCs w:val="19"/>
          <w:lang w:eastAsia="pl-PL"/>
        </w:rPr>
        <w:t xml:space="preserve">świń – </w:t>
      </w:r>
      <w:r w:rsidRPr="0027611D">
        <w:rPr>
          <w:b/>
          <w:szCs w:val="19"/>
        </w:rPr>
        <w:t>11</w:t>
      </w:r>
      <w:r w:rsidR="00CC1717">
        <w:rPr>
          <w:b/>
          <w:szCs w:val="19"/>
        </w:rPr>
        <w:t xml:space="preserve"> </w:t>
      </w:r>
      <w:r w:rsidRPr="0027611D">
        <w:rPr>
          <w:b/>
          <w:szCs w:val="19"/>
        </w:rPr>
        <w:t>203</w:t>
      </w:r>
      <w:r w:rsidRPr="0027611D">
        <w:rPr>
          <w:szCs w:val="19"/>
        </w:rPr>
        <w:t xml:space="preserve"> </w:t>
      </w:r>
      <w:r w:rsidRPr="0027611D">
        <w:rPr>
          <w:rFonts w:eastAsia="Times New Roman" w:cs="Times New Roman"/>
          <w:b/>
          <w:szCs w:val="19"/>
          <w:lang w:eastAsia="pl-PL"/>
        </w:rPr>
        <w:t>tys. sztuk</w:t>
      </w:r>
      <w:r w:rsidRPr="0027611D">
        <w:rPr>
          <w:rFonts w:eastAsia="Times New Roman" w:cs="Times New Roman"/>
          <w:szCs w:val="19"/>
          <w:lang w:eastAsia="pl-PL"/>
        </w:rPr>
        <w:t xml:space="preserve"> i </w:t>
      </w:r>
      <w:r w:rsidRPr="0027611D">
        <w:rPr>
          <w:rFonts w:eastAsia="Times New Roman" w:cs="Times New Roman"/>
          <w:b/>
          <w:szCs w:val="19"/>
          <w:lang w:eastAsia="pl-PL"/>
        </w:rPr>
        <w:t>zmniejszyło się</w:t>
      </w:r>
      <w:r w:rsidRPr="0027611D">
        <w:rPr>
          <w:rFonts w:eastAsia="Times New Roman" w:cs="Times New Roman"/>
          <w:szCs w:val="19"/>
          <w:lang w:eastAsia="pl-PL"/>
        </w:rPr>
        <w:t xml:space="preserve"> w porów</w:t>
      </w:r>
      <w:r w:rsidR="00CC1717">
        <w:rPr>
          <w:rFonts w:eastAsia="Times New Roman" w:cs="Times New Roman"/>
          <w:szCs w:val="19"/>
          <w:lang w:eastAsia="pl-PL"/>
        </w:rPr>
        <w:t>naniu z wynikami PSR 2010 o ok. </w:t>
      </w:r>
      <w:r w:rsidRPr="0027611D">
        <w:rPr>
          <w:rFonts w:eastAsia="Times New Roman" w:cs="Times New Roman"/>
          <w:szCs w:val="19"/>
          <w:lang w:eastAsia="pl-PL"/>
        </w:rPr>
        <w:t>4</w:t>
      </w:r>
      <w:r w:rsidR="00CC1717">
        <w:rPr>
          <w:rFonts w:eastAsia="Times New Roman" w:cs="Times New Roman"/>
          <w:szCs w:val="19"/>
          <w:lang w:eastAsia="pl-PL"/>
        </w:rPr>
        <w:t> </w:t>
      </w:r>
      <w:r w:rsidRPr="0027611D">
        <w:rPr>
          <w:rFonts w:eastAsia="Times New Roman" w:cs="Times New Roman"/>
          <w:szCs w:val="19"/>
          <w:lang w:eastAsia="pl-PL"/>
        </w:rPr>
        <w:t>000 tys. sztuk (o ponad</w:t>
      </w:r>
      <w:r w:rsidRPr="0027611D">
        <w:rPr>
          <w:rFonts w:eastAsia="Times New Roman" w:cs="Times New Roman"/>
          <w:b/>
          <w:szCs w:val="19"/>
          <w:lang w:eastAsia="pl-PL"/>
        </w:rPr>
        <w:t xml:space="preserve"> 26%</w:t>
      </w:r>
      <w:r w:rsidRPr="0027611D">
        <w:rPr>
          <w:rFonts w:eastAsia="Times New Roman" w:cs="Times New Roman"/>
          <w:szCs w:val="19"/>
          <w:lang w:eastAsia="pl-PL"/>
        </w:rPr>
        <w:t>).</w:t>
      </w:r>
    </w:p>
    <w:p w14:paraId="255AF966" w14:textId="311900F0" w:rsidR="002B2DD2" w:rsidRPr="0027611D" w:rsidRDefault="002B2DD2" w:rsidP="002B2DD2">
      <w:pPr>
        <w:tabs>
          <w:tab w:val="left" w:pos="2268"/>
        </w:tabs>
        <w:spacing w:before="0" w:after="160"/>
        <w:contextualSpacing/>
        <w:rPr>
          <w:b/>
          <w:sz w:val="18"/>
          <w:szCs w:val="18"/>
        </w:rPr>
      </w:pPr>
      <w:r w:rsidRPr="0027611D">
        <w:rPr>
          <w:rFonts w:asciiTheme="minorHAnsi" w:hAnsiTheme="minorHAnsi"/>
          <w:b/>
          <w:noProof/>
          <w:sz w:val="18"/>
          <w:szCs w:val="18"/>
          <w:lang w:eastAsia="pl-PL"/>
        </w:rPr>
        <w:lastRenderedPageBreak/>
        <w:drawing>
          <wp:anchor distT="0" distB="0" distL="114300" distR="114300" simplePos="0" relativeHeight="251750400" behindDoc="0" locked="0" layoutInCell="1" allowOverlap="1" wp14:anchorId="6D4C6A73" wp14:editId="425953CB">
            <wp:simplePos x="0" y="0"/>
            <wp:positionH relativeFrom="margin">
              <wp:align>left</wp:align>
            </wp:positionH>
            <wp:positionV relativeFrom="paragraph">
              <wp:posOffset>189230</wp:posOffset>
            </wp:positionV>
            <wp:extent cx="5090160" cy="2900045"/>
            <wp:effectExtent l="0" t="0" r="0" b="0"/>
            <wp:wrapSquare wrapText="bothSides"/>
            <wp:docPr id="17" name="Wykres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Pr="0027611D">
        <w:rPr>
          <w:b/>
          <w:sz w:val="18"/>
          <w:szCs w:val="18"/>
        </w:rPr>
        <w:t>Wykres 5. Pogłowie bydła i świń</w:t>
      </w:r>
      <w:r w:rsidR="00322FE5">
        <w:rPr>
          <w:b/>
          <w:sz w:val="18"/>
          <w:szCs w:val="18"/>
        </w:rPr>
        <w:t xml:space="preserve"> w tys. sztuk</w:t>
      </w:r>
    </w:p>
    <w:p w14:paraId="2E1E9666" w14:textId="77777777" w:rsidR="002B2DD2" w:rsidRPr="0027611D" w:rsidRDefault="002B2DD2" w:rsidP="002B2DD2">
      <w:pPr>
        <w:widowControl w:val="0"/>
        <w:spacing w:before="0" w:after="160"/>
        <w:rPr>
          <w:rFonts w:eastAsia="Times New Roman" w:cs="Times New Roman"/>
          <w:szCs w:val="19"/>
          <w:lang w:eastAsia="pl-PL"/>
        </w:rPr>
      </w:pPr>
    </w:p>
    <w:p w14:paraId="6E62AD67" w14:textId="7489459B" w:rsidR="00CC1717" w:rsidRPr="0027611D" w:rsidRDefault="00CC1717" w:rsidP="00CC1717">
      <w:pPr>
        <w:widowControl w:val="0"/>
        <w:rPr>
          <w:rFonts w:eastAsia="Times New Roman" w:cs="Times New Roman"/>
          <w:szCs w:val="19"/>
          <w:lang w:eastAsia="pl-PL"/>
        </w:rPr>
      </w:pPr>
      <w:r w:rsidRPr="0027611D">
        <w:rPr>
          <w:rFonts w:eastAsia="Times New Roman" w:cs="Times New Roman"/>
          <w:szCs w:val="19"/>
          <w:lang w:eastAsia="pl-PL"/>
        </w:rPr>
        <w:t>W gospodarstwach rolnych obsada zwierząt gospodarskich na 100 ha użytków rolnych w 2020</w:t>
      </w:r>
      <w:r w:rsidR="00C500AE">
        <w:rPr>
          <w:rFonts w:eastAsia="Times New Roman" w:cs="Times New Roman"/>
          <w:szCs w:val="19"/>
          <w:lang w:eastAsia="pl-PL"/>
        </w:rPr>
        <w:t> </w:t>
      </w:r>
      <w:r w:rsidRPr="0027611D">
        <w:rPr>
          <w:rFonts w:eastAsia="Times New Roman" w:cs="Times New Roman"/>
          <w:szCs w:val="19"/>
          <w:lang w:eastAsia="pl-PL"/>
        </w:rPr>
        <w:t>r. kształtowała się na poziomie:</w:t>
      </w:r>
    </w:p>
    <w:p w14:paraId="5AA33643" w14:textId="77777777" w:rsidR="00CC1717" w:rsidRPr="0027611D" w:rsidRDefault="00CC1717" w:rsidP="00732DED">
      <w:pPr>
        <w:widowControl w:val="0"/>
        <w:numPr>
          <w:ilvl w:val="0"/>
          <w:numId w:val="7"/>
        </w:numPr>
        <w:spacing w:before="0" w:after="0"/>
        <w:ind w:left="284" w:hanging="284"/>
        <w:rPr>
          <w:rFonts w:eastAsia="Times New Roman" w:cs="Times New Roman"/>
          <w:szCs w:val="19"/>
          <w:lang w:eastAsia="pl-PL"/>
        </w:rPr>
      </w:pPr>
      <w:r w:rsidRPr="0027611D">
        <w:rPr>
          <w:rFonts w:eastAsia="Times New Roman" w:cs="Times New Roman"/>
          <w:szCs w:val="19"/>
          <w:lang w:eastAsia="pl-PL"/>
        </w:rPr>
        <w:t>bydła – 43 sztuk, tj. o ponad 10% więcej niż w 2010 r.,</w:t>
      </w:r>
    </w:p>
    <w:p w14:paraId="42658D45" w14:textId="77777777" w:rsidR="00CC1717" w:rsidRDefault="00CC1717" w:rsidP="00732DED">
      <w:pPr>
        <w:widowControl w:val="0"/>
        <w:numPr>
          <w:ilvl w:val="0"/>
          <w:numId w:val="7"/>
        </w:numPr>
        <w:spacing w:before="0" w:after="0"/>
        <w:ind w:left="284" w:hanging="284"/>
        <w:rPr>
          <w:rFonts w:eastAsia="Times New Roman" w:cs="Times New Roman"/>
          <w:szCs w:val="19"/>
          <w:lang w:eastAsia="pl-PL"/>
        </w:rPr>
      </w:pPr>
      <w:r w:rsidRPr="0027611D">
        <w:rPr>
          <w:rFonts w:eastAsia="Times New Roman" w:cs="Times New Roman"/>
          <w:szCs w:val="19"/>
          <w:lang w:eastAsia="pl-PL"/>
        </w:rPr>
        <w:t>świń - 77 sztuk, tj. o ponad 25% mniej niż w 2010 r.</w:t>
      </w:r>
    </w:p>
    <w:p w14:paraId="21613D5D" w14:textId="77777777" w:rsidR="00732DED" w:rsidRPr="0027611D" w:rsidRDefault="00732DED" w:rsidP="00732DED">
      <w:pPr>
        <w:widowControl w:val="0"/>
        <w:spacing w:before="0"/>
        <w:ind w:left="284"/>
        <w:rPr>
          <w:rFonts w:eastAsia="Times New Roman" w:cs="Times New Roman"/>
          <w:szCs w:val="19"/>
          <w:lang w:eastAsia="pl-PL"/>
        </w:rPr>
      </w:pPr>
    </w:p>
    <w:p w14:paraId="51589ADC" w14:textId="2C504D3B" w:rsidR="002B2DD2" w:rsidRDefault="00A0600E" w:rsidP="002B2DD2">
      <w:pPr>
        <w:tabs>
          <w:tab w:val="left" w:pos="6237"/>
        </w:tabs>
        <w:spacing w:before="0" w:after="160"/>
        <w:rPr>
          <w:b/>
          <w:sz w:val="18"/>
          <w:szCs w:val="18"/>
        </w:rPr>
      </w:pPr>
      <w:r>
        <w:rPr>
          <w:noProof/>
          <w:lang w:eastAsia="pl-PL"/>
        </w:rPr>
        <w:drawing>
          <wp:anchor distT="0" distB="0" distL="114300" distR="114300" simplePos="0" relativeHeight="251753472" behindDoc="0" locked="0" layoutInCell="1" allowOverlap="1" wp14:anchorId="3BF32D8A" wp14:editId="3F079AD9">
            <wp:simplePos x="0" y="0"/>
            <wp:positionH relativeFrom="column">
              <wp:posOffset>-20320</wp:posOffset>
            </wp:positionH>
            <wp:positionV relativeFrom="paragraph">
              <wp:posOffset>252095</wp:posOffset>
            </wp:positionV>
            <wp:extent cx="5122545" cy="2893695"/>
            <wp:effectExtent l="0" t="0" r="1905" b="1905"/>
            <wp:wrapSquare wrapText="bothSides"/>
            <wp:docPr id="31" name="Wykres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2B2DD2" w:rsidRPr="0027611D">
        <w:rPr>
          <w:b/>
          <w:sz w:val="18"/>
          <w:szCs w:val="18"/>
        </w:rPr>
        <w:t>Wykres 6. Obsada bydła i świń</w:t>
      </w:r>
      <w:r w:rsidR="003B7259">
        <w:rPr>
          <w:b/>
          <w:sz w:val="18"/>
          <w:szCs w:val="18"/>
        </w:rPr>
        <w:t xml:space="preserve"> w sztukach</w:t>
      </w:r>
      <w:r w:rsidR="002B2DD2" w:rsidRPr="0027611D">
        <w:rPr>
          <w:b/>
          <w:sz w:val="18"/>
          <w:szCs w:val="18"/>
        </w:rPr>
        <w:t xml:space="preserve"> na 100 ha użytków rolnych</w:t>
      </w:r>
    </w:p>
    <w:p w14:paraId="4F39D704" w14:textId="77777777" w:rsidR="002B2DD2" w:rsidRPr="0027611D" w:rsidRDefault="002B2DD2" w:rsidP="002B2DD2">
      <w:pPr>
        <w:widowControl w:val="0"/>
        <w:rPr>
          <w:rFonts w:eastAsia="Times New Roman" w:cs="Times New Roman"/>
          <w:szCs w:val="19"/>
          <w:lang w:eastAsia="pl-PL"/>
        </w:rPr>
      </w:pPr>
      <w:r w:rsidRPr="0027611D">
        <w:rPr>
          <w:rFonts w:eastAsia="Times New Roman" w:cs="Times New Roman"/>
          <w:szCs w:val="19"/>
          <w:lang w:eastAsia="pl-PL"/>
        </w:rPr>
        <w:t>W 2020 r. na 1 gospodarstwo rolne utrzymujące dany gatunek zwierząt, przeciętnie przypadało:</w:t>
      </w:r>
    </w:p>
    <w:p w14:paraId="78FAA046" w14:textId="0845B50F" w:rsidR="002B2DD2" w:rsidRPr="0027611D" w:rsidRDefault="002B2DD2" w:rsidP="00811D7C">
      <w:pPr>
        <w:widowControl w:val="0"/>
        <w:numPr>
          <w:ilvl w:val="0"/>
          <w:numId w:val="8"/>
        </w:numPr>
        <w:spacing w:after="0"/>
        <w:ind w:left="284" w:hanging="284"/>
        <w:rPr>
          <w:rFonts w:eastAsia="Times New Roman" w:cs="Times New Roman"/>
          <w:szCs w:val="19"/>
          <w:lang w:eastAsia="pl-PL"/>
        </w:rPr>
      </w:pPr>
      <w:r w:rsidRPr="0027611D">
        <w:rPr>
          <w:rFonts w:eastAsia="Times New Roman" w:cs="Times New Roman"/>
          <w:szCs w:val="19"/>
          <w:lang w:eastAsia="pl-PL"/>
        </w:rPr>
        <w:t>24 sztuk bydła wobec 11 sztuk w 2010 r.,</w:t>
      </w:r>
    </w:p>
    <w:p w14:paraId="41E385E1" w14:textId="77777777" w:rsidR="002B2DD2" w:rsidRPr="0027611D" w:rsidRDefault="002B2DD2" w:rsidP="00811D7C">
      <w:pPr>
        <w:widowControl w:val="0"/>
        <w:numPr>
          <w:ilvl w:val="0"/>
          <w:numId w:val="8"/>
        </w:numPr>
        <w:spacing w:before="0"/>
        <w:ind w:left="284" w:hanging="284"/>
        <w:rPr>
          <w:rFonts w:eastAsia="Times New Roman" w:cs="Times New Roman"/>
          <w:szCs w:val="19"/>
          <w:lang w:eastAsia="pl-PL"/>
        </w:rPr>
      </w:pPr>
      <w:r w:rsidRPr="0027611D">
        <w:rPr>
          <w:rFonts w:eastAsia="Times New Roman" w:cs="Times New Roman"/>
          <w:szCs w:val="19"/>
          <w:lang w:eastAsia="pl-PL"/>
        </w:rPr>
        <w:t>133 sztuk świń wobec 39 sztuk w 2010 r.</w:t>
      </w:r>
    </w:p>
    <w:p w14:paraId="5093EAAB" w14:textId="00CEA5B8" w:rsidR="002B2DD2" w:rsidRPr="0027611D" w:rsidRDefault="002B2DD2" w:rsidP="002B2DD2">
      <w:pPr>
        <w:widowControl w:val="0"/>
        <w:rPr>
          <w:rFonts w:eastAsia="Times New Roman" w:cs="Times New Roman"/>
          <w:szCs w:val="19"/>
          <w:lang w:eastAsia="pl-PL"/>
        </w:rPr>
      </w:pPr>
      <w:r w:rsidRPr="0027611D">
        <w:rPr>
          <w:rFonts w:eastAsia="Times New Roman" w:cs="Times New Roman"/>
          <w:szCs w:val="19"/>
          <w:lang w:eastAsia="pl-PL"/>
        </w:rPr>
        <w:t xml:space="preserve">Powyższe dane wskazują na specjalizację gospodarstw rolnych prowadzących chów/hodowlę bydła oraz świń </w:t>
      </w:r>
      <w:r w:rsidR="00271958">
        <w:rPr>
          <w:rFonts w:eastAsia="Times New Roman" w:cs="Times New Roman"/>
          <w:szCs w:val="19"/>
          <w:lang w:eastAsia="pl-PL"/>
        </w:rPr>
        <w:t xml:space="preserve">jak również na </w:t>
      </w:r>
      <w:r w:rsidRPr="0027611D">
        <w:rPr>
          <w:rFonts w:eastAsia="Times New Roman" w:cs="Times New Roman"/>
          <w:szCs w:val="19"/>
          <w:lang w:eastAsia="pl-PL"/>
        </w:rPr>
        <w:t>koncentrację pogłowia tych zwierząt w gospodarstwach zajmujących się ich chowem.</w:t>
      </w:r>
    </w:p>
    <w:p w14:paraId="559E8B78" w14:textId="09595BFB" w:rsidR="002B2DD2" w:rsidRPr="0027611D" w:rsidRDefault="002B2DD2" w:rsidP="002B2DD2">
      <w:pPr>
        <w:widowControl w:val="0"/>
        <w:rPr>
          <w:rFonts w:eastAsia="Times New Roman" w:cs="Times New Roman"/>
          <w:szCs w:val="19"/>
          <w:lang w:eastAsia="pl-PL"/>
        </w:rPr>
      </w:pPr>
      <w:r w:rsidRPr="0027611D">
        <w:rPr>
          <w:rFonts w:eastAsia="Times New Roman" w:cs="Times New Roman"/>
          <w:szCs w:val="19"/>
          <w:lang w:eastAsia="pl-PL"/>
        </w:rPr>
        <w:t xml:space="preserve">Pojawiające się od 2014 r. choroby świń, głównie ASF (afrykański pomór świń), wiążące się z koniecznością zapewnienia </w:t>
      </w:r>
      <w:proofErr w:type="spellStart"/>
      <w:r w:rsidRPr="0027611D">
        <w:rPr>
          <w:rFonts w:eastAsia="Times New Roman" w:cs="Times New Roman"/>
          <w:szCs w:val="19"/>
          <w:lang w:eastAsia="pl-PL"/>
        </w:rPr>
        <w:t>bioasekuracji</w:t>
      </w:r>
      <w:proofErr w:type="spellEnd"/>
      <w:r w:rsidRPr="0027611D">
        <w:rPr>
          <w:rFonts w:eastAsia="Times New Roman" w:cs="Times New Roman"/>
          <w:szCs w:val="19"/>
          <w:lang w:eastAsia="pl-PL"/>
        </w:rPr>
        <w:t xml:space="preserve"> w gospodarstwach rolnych</w:t>
      </w:r>
      <w:r w:rsidRPr="00A441EC">
        <w:rPr>
          <w:rFonts w:eastAsia="Times New Roman" w:cs="Times New Roman"/>
          <w:szCs w:val="19"/>
          <w:lang w:eastAsia="pl-PL"/>
        </w:rPr>
        <w:t>, spowodował</w:t>
      </w:r>
      <w:r w:rsidR="00CD10E2" w:rsidRPr="00A441EC">
        <w:rPr>
          <w:rFonts w:eastAsia="Times New Roman" w:cs="Times New Roman"/>
          <w:szCs w:val="19"/>
          <w:lang w:eastAsia="pl-PL"/>
        </w:rPr>
        <w:t>y</w:t>
      </w:r>
      <w:r w:rsidRPr="00A441EC">
        <w:rPr>
          <w:rFonts w:eastAsia="Times New Roman" w:cs="Times New Roman"/>
          <w:szCs w:val="19"/>
          <w:lang w:eastAsia="pl-PL"/>
        </w:rPr>
        <w:t xml:space="preserve"> </w:t>
      </w:r>
      <w:r w:rsidR="00CD10E2" w:rsidRPr="00A441EC">
        <w:rPr>
          <w:rFonts w:eastAsia="Times New Roman" w:cs="Times New Roman"/>
          <w:szCs w:val="19"/>
          <w:lang w:eastAsia="pl-PL"/>
        </w:rPr>
        <w:t>wycofanie się</w:t>
      </w:r>
      <w:r w:rsidRPr="00A441EC">
        <w:rPr>
          <w:rFonts w:eastAsia="Times New Roman" w:cs="Times New Roman"/>
          <w:szCs w:val="19"/>
          <w:lang w:eastAsia="pl-PL"/>
        </w:rPr>
        <w:t xml:space="preserve"> producentów</w:t>
      </w:r>
      <w:r w:rsidR="00CD10E2" w:rsidRPr="00A441EC">
        <w:rPr>
          <w:rFonts w:eastAsia="Times New Roman" w:cs="Times New Roman"/>
          <w:szCs w:val="19"/>
          <w:lang w:eastAsia="pl-PL"/>
        </w:rPr>
        <w:t xml:space="preserve"> rolnych</w:t>
      </w:r>
      <w:r w:rsidRPr="00A441EC">
        <w:rPr>
          <w:rFonts w:eastAsia="Times New Roman" w:cs="Times New Roman"/>
          <w:szCs w:val="19"/>
          <w:lang w:eastAsia="pl-PL"/>
        </w:rPr>
        <w:t xml:space="preserve"> z produkcji o małej skali chowu na rzecz chowu intensywnego (przemysłowego).</w:t>
      </w:r>
      <w:r w:rsidRPr="0027611D">
        <w:rPr>
          <w:rFonts w:eastAsia="Times New Roman" w:cs="Times New Roman"/>
          <w:szCs w:val="19"/>
          <w:lang w:eastAsia="pl-PL"/>
        </w:rPr>
        <w:t xml:space="preserve">  </w:t>
      </w:r>
    </w:p>
    <w:p w14:paraId="3E596345" w14:textId="743BBE23" w:rsidR="002B2DD2" w:rsidRDefault="002B2DD2" w:rsidP="002B2DD2">
      <w:pPr>
        <w:widowControl w:val="0"/>
        <w:spacing w:before="0" w:after="160"/>
        <w:rPr>
          <w:rFonts w:eastAsia="Times New Roman" w:cs="Times New Roman"/>
          <w:b/>
          <w:szCs w:val="19"/>
          <w:lang w:eastAsia="pl-PL"/>
        </w:rPr>
      </w:pPr>
    </w:p>
    <w:p w14:paraId="06421E65" w14:textId="4AE1654D" w:rsidR="002B2DD2" w:rsidRPr="00AC7E0F" w:rsidRDefault="002B2DD2" w:rsidP="002B2DD2">
      <w:pPr>
        <w:pStyle w:val="Akapitzlist"/>
        <w:widowControl w:val="0"/>
        <w:numPr>
          <w:ilvl w:val="0"/>
          <w:numId w:val="5"/>
        </w:numPr>
        <w:spacing w:before="0"/>
        <w:ind w:left="284" w:hanging="284"/>
        <w:rPr>
          <w:rFonts w:eastAsia="Times New Roman" w:cs="Times New Roman"/>
          <w:b/>
          <w:szCs w:val="19"/>
          <w:lang w:eastAsia="pl-PL"/>
        </w:rPr>
      </w:pPr>
      <w:r w:rsidRPr="00AC7E0F">
        <w:rPr>
          <w:noProof/>
          <w:spacing w:val="-4"/>
          <w:lang w:eastAsia="pl-PL"/>
        </w:rPr>
        <w:lastRenderedPageBreak/>
        <mc:AlternateContent>
          <mc:Choice Requires="wps">
            <w:drawing>
              <wp:anchor distT="45720" distB="45720" distL="114300" distR="114300" simplePos="0" relativeHeight="251746304" behindDoc="1" locked="0" layoutInCell="1" allowOverlap="1" wp14:anchorId="732E8A4B" wp14:editId="5B7C4D04">
                <wp:simplePos x="0" y="0"/>
                <wp:positionH relativeFrom="page">
                  <wp:posOffset>5690870</wp:posOffset>
                </wp:positionH>
                <wp:positionV relativeFrom="paragraph">
                  <wp:posOffset>175895</wp:posOffset>
                </wp:positionV>
                <wp:extent cx="1794510" cy="838835"/>
                <wp:effectExtent l="0" t="0" r="0" b="0"/>
                <wp:wrapTight wrapText="bothSides">
                  <wp:wrapPolygon edited="0">
                    <wp:start x="688" y="0"/>
                    <wp:lineTo x="688" y="21093"/>
                    <wp:lineTo x="20866" y="21093"/>
                    <wp:lineTo x="20866" y="0"/>
                    <wp:lineTo x="688" y="0"/>
                  </wp:wrapPolygon>
                </wp:wrapTight>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4510" cy="838835"/>
                        </a:xfrm>
                        <a:prstGeom prst="rect">
                          <a:avLst/>
                        </a:prstGeom>
                        <a:noFill/>
                        <a:ln w="9525">
                          <a:noFill/>
                          <a:miter lim="800000"/>
                          <a:headEnd/>
                          <a:tailEnd/>
                        </a:ln>
                      </wps:spPr>
                      <wps:txbx>
                        <w:txbxContent>
                          <w:p w14:paraId="10EE2857" w14:textId="26293950" w:rsidR="002B2DD2" w:rsidRPr="00AC7E0F" w:rsidRDefault="002B2DD2" w:rsidP="002B2DD2">
                            <w:pPr>
                              <w:spacing w:after="0"/>
                              <w:rPr>
                                <w:rFonts w:eastAsia="Times New Roman" w:cs="Times New Roman"/>
                                <w:bCs/>
                                <w:color w:val="008542"/>
                                <w:sz w:val="18"/>
                                <w:szCs w:val="18"/>
                                <w:lang w:eastAsia="pl-PL"/>
                              </w:rPr>
                            </w:pPr>
                            <w:r w:rsidRPr="00AC7E0F">
                              <w:rPr>
                                <w:rFonts w:eastAsia="Times New Roman" w:cs="Times New Roman"/>
                                <w:bCs/>
                                <w:color w:val="008542"/>
                                <w:sz w:val="18"/>
                                <w:szCs w:val="18"/>
                                <w:lang w:eastAsia="pl-PL"/>
                              </w:rPr>
                              <w:t>Liczba ciągników w gospodarstwach rolnych wyniosła ok. 1</w:t>
                            </w:r>
                            <w:r w:rsidR="009B58EF">
                              <w:rPr>
                                <w:rFonts w:eastAsia="Times New Roman" w:cs="Times New Roman"/>
                                <w:bCs/>
                                <w:color w:val="008542"/>
                                <w:sz w:val="18"/>
                                <w:szCs w:val="18"/>
                                <w:lang w:eastAsia="pl-PL"/>
                              </w:rPr>
                              <w:t> </w:t>
                            </w:r>
                            <w:r w:rsidRPr="00AC7E0F">
                              <w:rPr>
                                <w:rFonts w:eastAsia="Times New Roman" w:cs="Times New Roman"/>
                                <w:bCs/>
                                <w:color w:val="008542"/>
                                <w:sz w:val="18"/>
                                <w:szCs w:val="18"/>
                                <w:lang w:eastAsia="pl-PL"/>
                              </w:rPr>
                              <w:t xml:space="preserve">444 tys. sztuk i była ok. 2% wyższa niż w 2010 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2E8A4B" id="Pole tekstowe 7" o:spid="_x0000_s1032" type="#_x0000_t202" style="position:absolute;left:0;text-align:left;margin-left:448.1pt;margin-top:13.85pt;width:141.3pt;height:66.05pt;z-index:-2515701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" filled="f" stroked="f">
                <v:textbox>
                  <w:txbxContent>
                    <w:p w14:paraId="10EE2857" w14:textId="26293950" w:rsidR="002B2DD2" w:rsidRPr="00AC7E0F" w:rsidRDefault="002B2DD2" w:rsidP="002B2DD2">
                      <w:pPr>
                        <w:spacing w:after="0"/>
                        <w:rPr>
                          <w:rFonts w:eastAsia="Times New Roman" w:cs="Times New Roman"/>
                          <w:bCs/>
                          <w:color w:val="008542"/>
                          <w:sz w:val="18"/>
                          <w:szCs w:val="18"/>
                          <w:lang w:eastAsia="pl-PL"/>
                        </w:rPr>
                      </w:pPr>
                      <w:r w:rsidRPr="00AC7E0F">
                        <w:rPr>
                          <w:rFonts w:eastAsia="Times New Roman" w:cs="Times New Roman"/>
                          <w:bCs/>
                          <w:color w:val="008542"/>
                          <w:sz w:val="18"/>
                          <w:szCs w:val="18"/>
                          <w:lang w:eastAsia="pl-PL"/>
                        </w:rPr>
                        <w:t>Liczba ciągników w gospodarstwach rolnych wyniosła ok. 1</w:t>
                      </w:r>
                      <w:r w:rsidR="009B58EF">
                        <w:rPr>
                          <w:rFonts w:eastAsia="Times New Roman" w:cs="Times New Roman"/>
                          <w:bCs/>
                          <w:color w:val="008542"/>
                          <w:sz w:val="18"/>
                          <w:szCs w:val="18"/>
                          <w:lang w:eastAsia="pl-PL"/>
                        </w:rPr>
                        <w:t> </w:t>
                      </w:r>
                      <w:r w:rsidRPr="00AC7E0F">
                        <w:rPr>
                          <w:rFonts w:eastAsia="Times New Roman" w:cs="Times New Roman"/>
                          <w:bCs/>
                          <w:color w:val="008542"/>
                          <w:sz w:val="18"/>
                          <w:szCs w:val="18"/>
                          <w:lang w:eastAsia="pl-PL"/>
                        </w:rPr>
                        <w:t xml:space="preserve">444 tys. sztuk i była ok. 2% wyższa niż w 2010 r. </w:t>
                      </w:r>
                    </w:p>
                  </w:txbxContent>
                </v:textbox>
                <w10:wrap type="tight" anchorx="page"/>
              </v:shape>
            </w:pict>
          </mc:Fallback>
        </mc:AlternateContent>
      </w:r>
      <w:r w:rsidRPr="00AC7E0F">
        <w:rPr>
          <w:rFonts w:ascii="Fira Sans SemiBold" w:eastAsia="Times New Roman" w:hAnsi="Fira Sans SemiBold" w:cs="Times New Roman"/>
          <w:b/>
          <w:color w:val="008542"/>
          <w:szCs w:val="19"/>
          <w:lang w:eastAsia="pl-PL"/>
        </w:rPr>
        <w:t>Liczba ciągników i maszyn rolniczych</w:t>
      </w:r>
    </w:p>
    <w:p w14:paraId="3065A1EB" w14:textId="47A87C9E" w:rsidR="002B2DD2" w:rsidRPr="00322FE5" w:rsidRDefault="002B2DD2" w:rsidP="00322FE5">
      <w:pPr>
        <w:autoSpaceDE w:val="0"/>
        <w:autoSpaceDN w:val="0"/>
        <w:rPr>
          <w:szCs w:val="19"/>
        </w:rPr>
      </w:pPr>
      <w:r w:rsidRPr="0027611D">
        <w:rPr>
          <w:szCs w:val="19"/>
        </w:rPr>
        <w:t xml:space="preserve">Według wstępnych wyników spisu rolnego w 2020 r., w gospodarstwach rolnych znajdowało się ok. </w:t>
      </w:r>
      <w:r w:rsidRPr="0027611D">
        <w:rPr>
          <w:b/>
          <w:szCs w:val="19"/>
        </w:rPr>
        <w:t>1</w:t>
      </w:r>
      <w:r w:rsidR="00CC1717">
        <w:rPr>
          <w:b/>
          <w:szCs w:val="19"/>
        </w:rPr>
        <w:t xml:space="preserve"> </w:t>
      </w:r>
      <w:r w:rsidRPr="0027611D">
        <w:rPr>
          <w:b/>
          <w:szCs w:val="19"/>
        </w:rPr>
        <w:t>444 tys. ciągników</w:t>
      </w:r>
      <w:r w:rsidRPr="0027611D">
        <w:rPr>
          <w:szCs w:val="19"/>
        </w:rPr>
        <w:t xml:space="preserve">, tj. o blisko 2% więcej niż w 2010 r. W 2020 r. na jedno gospodarstwo rolne przypadało średnio ok. 1,1 ciągnika, wobec 0,9 w 2010 r. Pomimo zwiększenia się liczby ciągników w gospodarstwach rolnych, średnia powierzchnia użytków rolnych przypadająca na 1 ciągnik utrzymała się na zbliżonym poziomie – ok. 10 ha (wobec 10,5 ha w 2010 r.). </w:t>
      </w:r>
    </w:p>
    <w:p w14:paraId="46017961" w14:textId="57575161" w:rsidR="002B2DD2" w:rsidRPr="0027611D" w:rsidRDefault="00811D7C" w:rsidP="002B2DD2">
      <w:pPr>
        <w:spacing w:before="0" w:after="160"/>
        <w:rPr>
          <w:b/>
          <w:color w:val="008542"/>
          <w:sz w:val="18"/>
          <w:szCs w:val="18"/>
        </w:rPr>
      </w:pPr>
      <w:r w:rsidRPr="00D95A5F">
        <w:rPr>
          <w:rFonts w:asciiTheme="minorHAnsi" w:hAnsiTheme="minorHAnsi"/>
          <w:noProof/>
          <w:sz w:val="22"/>
          <w:lang w:eastAsia="pl-PL"/>
        </w:rPr>
        <w:drawing>
          <wp:anchor distT="0" distB="0" distL="114300" distR="114300" simplePos="0" relativeHeight="251749376" behindDoc="0" locked="0" layoutInCell="1" allowOverlap="1" wp14:anchorId="4AA37057" wp14:editId="7D3DB8F4">
            <wp:simplePos x="0" y="0"/>
            <wp:positionH relativeFrom="margin">
              <wp:align>left</wp:align>
            </wp:positionH>
            <wp:positionV relativeFrom="paragraph">
              <wp:posOffset>368935</wp:posOffset>
            </wp:positionV>
            <wp:extent cx="4881880" cy="2393315"/>
            <wp:effectExtent l="0" t="0" r="0" b="6985"/>
            <wp:wrapSquare wrapText="bothSides"/>
            <wp:docPr id="19" name="Wykres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002B2DD2" w:rsidRPr="00D95A5F">
        <w:rPr>
          <w:b/>
          <w:sz w:val="18"/>
          <w:szCs w:val="18"/>
        </w:rPr>
        <w:t>Wykres 8. Ciągniki i wybrane maszyny rolnicze</w:t>
      </w:r>
      <w:r w:rsidR="00B152C9">
        <w:rPr>
          <w:b/>
          <w:sz w:val="18"/>
          <w:szCs w:val="18"/>
        </w:rPr>
        <w:t xml:space="preserve"> w tys.</w:t>
      </w:r>
      <w:r w:rsidR="00444D8D">
        <w:rPr>
          <w:b/>
          <w:sz w:val="18"/>
          <w:szCs w:val="18"/>
        </w:rPr>
        <w:t xml:space="preserve"> sztuk</w:t>
      </w:r>
    </w:p>
    <w:p w14:paraId="419A633E" w14:textId="7C16B970" w:rsidR="002B2DD2" w:rsidRDefault="002B2DD2" w:rsidP="002B2DD2">
      <w:pPr>
        <w:spacing w:before="0" w:after="160"/>
        <w:rPr>
          <w:szCs w:val="19"/>
        </w:rPr>
      </w:pPr>
    </w:p>
    <w:p w14:paraId="5ADE15AB" w14:textId="6D8A839E" w:rsidR="002B2DD2" w:rsidRPr="0027611D" w:rsidRDefault="002B2DD2" w:rsidP="002B2DD2">
      <w:pPr>
        <w:rPr>
          <w:szCs w:val="19"/>
        </w:rPr>
      </w:pPr>
      <w:r w:rsidRPr="0027611D">
        <w:rPr>
          <w:szCs w:val="19"/>
        </w:rPr>
        <w:t xml:space="preserve">Zmiany zachodzące w powierzchni upraw głównych ziemiopłodów, postępujący proces modernizacji rolnictwa oraz dostępność różnych źródeł finansowania zakupu nowoczesnych maszyn (w tym dotacji z PROW, kredytów rolniczych oraz leasingu), wpłynęły na aktualny stan wyposażenia gospodarstw w maszyny i urządzenia rolnicze. </w:t>
      </w:r>
      <w:r w:rsidRPr="0027611D">
        <w:rPr>
          <w:rFonts w:cs="TimesNewRoman"/>
          <w:szCs w:val="19"/>
        </w:rPr>
        <w:t>Przy utrzymującej się przewadze zbóż w strukturze powierzchni zasiewów i jednocze</w:t>
      </w:r>
      <w:r w:rsidR="00732DED">
        <w:rPr>
          <w:rFonts w:cs="TimesNewRoman"/>
          <w:szCs w:val="19"/>
        </w:rPr>
        <w:t>s</w:t>
      </w:r>
      <w:r w:rsidRPr="0027611D">
        <w:rPr>
          <w:rFonts w:cs="TimesNewRoman"/>
          <w:szCs w:val="19"/>
        </w:rPr>
        <w:t xml:space="preserve">nym wzroście powierzchni uprawy rzepaku, w 2020 r. w gospodarstwach rolnych znajdowało się ok. </w:t>
      </w:r>
      <w:r w:rsidRPr="0027611D">
        <w:rPr>
          <w:rFonts w:cs="TimesNewRoman"/>
          <w:b/>
          <w:szCs w:val="19"/>
        </w:rPr>
        <w:t>167 tys. kombajnów zbożowych</w:t>
      </w:r>
      <w:r w:rsidRPr="0027611D">
        <w:rPr>
          <w:rFonts w:cs="TimesNewRoman"/>
          <w:szCs w:val="19"/>
        </w:rPr>
        <w:t xml:space="preserve">, tj. o ponad 10% więcej niż w 2010 r. Natomiast w porównaniu </w:t>
      </w:r>
      <w:r w:rsidR="00CD10E2">
        <w:rPr>
          <w:rFonts w:cs="TimesNewRoman"/>
          <w:szCs w:val="19"/>
        </w:rPr>
        <w:t>z 2010 r. zmniejszyła się o ok. </w:t>
      </w:r>
      <w:r w:rsidRPr="0027611D">
        <w:rPr>
          <w:rFonts w:cs="TimesNewRoman"/>
          <w:szCs w:val="19"/>
        </w:rPr>
        <w:t xml:space="preserve">5% liczba </w:t>
      </w:r>
      <w:r w:rsidRPr="00732DED">
        <w:rPr>
          <w:rFonts w:cs="TimesNewRoman"/>
          <w:b/>
          <w:szCs w:val="19"/>
        </w:rPr>
        <w:t>opryskiwaczy do stosowania środków ochrony roślin</w:t>
      </w:r>
      <w:r w:rsidR="00732DED">
        <w:rPr>
          <w:rFonts w:cs="TimesNewRoman"/>
          <w:szCs w:val="19"/>
        </w:rPr>
        <w:t xml:space="preserve"> </w:t>
      </w:r>
      <w:r w:rsidR="00732DED" w:rsidRPr="0027611D">
        <w:rPr>
          <w:rFonts w:cs="TimesNewRoman"/>
          <w:szCs w:val="19"/>
        </w:rPr>
        <w:t>(</w:t>
      </w:r>
      <w:r w:rsidR="00732DED">
        <w:rPr>
          <w:rFonts w:cs="TimesNewRoman"/>
          <w:b/>
          <w:szCs w:val="19"/>
        </w:rPr>
        <w:t>513</w:t>
      </w:r>
      <w:r w:rsidR="00732DED" w:rsidRPr="00CD10E2">
        <w:rPr>
          <w:rFonts w:cs="TimesNewRoman"/>
          <w:b/>
          <w:szCs w:val="19"/>
        </w:rPr>
        <w:t xml:space="preserve"> tys.</w:t>
      </w:r>
      <w:r w:rsidR="00732DED" w:rsidRPr="0027611D">
        <w:rPr>
          <w:rFonts w:cs="TimesNewRoman"/>
          <w:szCs w:val="19"/>
        </w:rPr>
        <w:t>)</w:t>
      </w:r>
      <w:r w:rsidR="00732DED">
        <w:rPr>
          <w:rFonts w:cs="TimesNewRoman"/>
          <w:szCs w:val="19"/>
        </w:rPr>
        <w:t>.</w:t>
      </w:r>
    </w:p>
    <w:p w14:paraId="14F21A4A" w14:textId="77777777" w:rsidR="002B2DD2" w:rsidRPr="00D154BE" w:rsidRDefault="002B2DD2" w:rsidP="002B2DD2">
      <w:pPr>
        <w:spacing w:before="0" w:after="160"/>
        <w:rPr>
          <w:color w:val="008542"/>
          <w:szCs w:val="19"/>
        </w:rPr>
      </w:pPr>
    </w:p>
    <w:p w14:paraId="26E74234" w14:textId="6A34A78E" w:rsidR="002B2DD2" w:rsidRPr="00195D0C" w:rsidRDefault="00D154BE" w:rsidP="00D154BE">
      <w:pPr>
        <w:pStyle w:val="tytuwykresu"/>
        <w:suppressAutoHyphens/>
        <w:spacing w:before="0"/>
        <w:ind w:left="811" w:hanging="811"/>
        <w:rPr>
          <w:color w:val="008542"/>
        </w:rPr>
      </w:pPr>
      <w:r w:rsidRPr="00195D0C">
        <w:rPr>
          <w:rFonts w:ascii="Fira Sans SemiBold" w:hAnsi="Fira Sans SemiBold"/>
          <w:color w:val="008542"/>
          <w:sz w:val="19"/>
          <w:szCs w:val="19"/>
        </w:rPr>
        <w:t>Podsumowanie</w:t>
      </w:r>
    </w:p>
    <w:p w14:paraId="28D7F906" w14:textId="010796C2" w:rsidR="00D154BE" w:rsidRPr="00BB4968" w:rsidRDefault="00D154BE" w:rsidP="00D154BE">
      <w:pPr>
        <w:widowControl w:val="0"/>
        <w:spacing w:before="0"/>
        <w:rPr>
          <w:rFonts w:ascii="Tahoma" w:eastAsia="Times New Roman" w:hAnsi="Tahoma" w:cs="Tahoma"/>
          <w:color w:val="000000"/>
          <w:sz w:val="20"/>
          <w:szCs w:val="20"/>
          <w:lang w:eastAsia="pl-PL"/>
        </w:rPr>
      </w:pPr>
      <w:r w:rsidRPr="00BB4968">
        <w:rPr>
          <w:rFonts w:eastAsia="Times New Roman" w:cs="Tahoma"/>
          <w:color w:val="000000"/>
          <w:szCs w:val="19"/>
          <w:lang w:eastAsia="pl-PL"/>
        </w:rPr>
        <w:t>Wyniki Powszechnego Sp</w:t>
      </w:r>
      <w:r w:rsidR="00CD10E2">
        <w:rPr>
          <w:rFonts w:eastAsia="Times New Roman" w:cs="Tahoma"/>
          <w:color w:val="000000"/>
          <w:szCs w:val="19"/>
          <w:lang w:eastAsia="pl-PL"/>
        </w:rPr>
        <w:t>isu Rolnego z 2020 r.</w:t>
      </w:r>
      <w:r w:rsidRPr="00BB4968">
        <w:rPr>
          <w:rFonts w:eastAsia="Times New Roman" w:cs="Tahoma"/>
          <w:color w:val="000000"/>
          <w:szCs w:val="19"/>
          <w:lang w:eastAsia="pl-PL"/>
        </w:rPr>
        <w:t xml:space="preserve"> wskazują na dynamiczne zmiany w polskim rolnictwie. Obserwujemy coraz silniejszą specjalizację gospodarstw rolnych przy postępującej koncentracji produkcji rolnej. Dominującym trendem obserwowanym</w:t>
      </w:r>
      <w:r w:rsidR="00E45ADA">
        <w:rPr>
          <w:rFonts w:eastAsia="Times New Roman" w:cs="Tahoma"/>
          <w:color w:val="000000"/>
          <w:szCs w:val="19"/>
          <w:lang w:eastAsia="pl-PL"/>
        </w:rPr>
        <w:t>,</w:t>
      </w:r>
      <w:r w:rsidRPr="00BB4968">
        <w:rPr>
          <w:rFonts w:eastAsia="Times New Roman" w:cs="Tahoma"/>
          <w:color w:val="000000"/>
          <w:szCs w:val="19"/>
          <w:lang w:eastAsia="pl-PL"/>
        </w:rPr>
        <w:t xml:space="preserve"> co najmniej od dwóch dekad, jest zmniejszanie się liczby gospodarstw rolnych, przy utrzymującej się na podobnym poziomie powierzchni użytków rolnych. Rośnie, zatem średnia powierzchnia gospodarstwa rolnego oraz zwiększa się obsada zwierząt gospodarskich w gospodarstwie rolnym. Wraz ze specjalizacją gospodarstw rolnych postępuje także ich modernizacja. </w:t>
      </w:r>
    </w:p>
    <w:p w14:paraId="00792C68" w14:textId="62EA0E3E" w:rsidR="00D154BE" w:rsidRPr="00BB4968" w:rsidRDefault="00D154BE" w:rsidP="00D154BE">
      <w:pPr>
        <w:widowControl w:val="0"/>
        <w:rPr>
          <w:rFonts w:ascii="Tahoma" w:eastAsia="Times New Roman" w:hAnsi="Tahoma" w:cs="Tahoma"/>
          <w:color w:val="000000"/>
          <w:sz w:val="20"/>
          <w:szCs w:val="20"/>
          <w:lang w:eastAsia="pl-PL"/>
        </w:rPr>
      </w:pPr>
      <w:r w:rsidRPr="00BB4968">
        <w:rPr>
          <w:rFonts w:eastAsia="Times New Roman" w:cs="Tahoma"/>
          <w:color w:val="000000"/>
          <w:szCs w:val="19"/>
          <w:lang w:eastAsia="pl-PL"/>
        </w:rPr>
        <w:t>Należy podkreślić, że struktura polskich gospodarstw rolnych jest ciągle rozdrobniona, występuje bardzo znaczący odsetek gospodarstw małych</w:t>
      </w:r>
      <w:r w:rsidR="00470C79">
        <w:rPr>
          <w:rFonts w:eastAsia="Times New Roman" w:cs="Tahoma"/>
          <w:color w:val="000000"/>
          <w:szCs w:val="19"/>
          <w:lang w:eastAsia="pl-PL"/>
        </w:rPr>
        <w:t xml:space="preserve">, które </w:t>
      </w:r>
      <w:r w:rsidRPr="00BB4968">
        <w:rPr>
          <w:rFonts w:eastAsia="Times New Roman" w:cs="Tahoma"/>
          <w:color w:val="000000"/>
          <w:szCs w:val="19"/>
          <w:lang w:eastAsia="pl-PL"/>
        </w:rPr>
        <w:t xml:space="preserve">nie produkują na rynek. Można jednak zauważyć, że duże i wyspecjalizowane jednostki dominują w wielu kategoriach produkcji rolnej (np. </w:t>
      </w:r>
      <w:r w:rsidR="00CD10E2">
        <w:rPr>
          <w:rFonts w:eastAsia="Times New Roman" w:cs="Tahoma"/>
          <w:color w:val="000000"/>
          <w:szCs w:val="19"/>
          <w:lang w:eastAsia="pl-PL"/>
        </w:rPr>
        <w:t>w produkcji zwierzęcej</w:t>
      </w:r>
      <w:r w:rsidRPr="00BB4968">
        <w:rPr>
          <w:rFonts w:eastAsia="Times New Roman" w:cs="Tahoma"/>
          <w:color w:val="000000"/>
          <w:szCs w:val="19"/>
          <w:lang w:eastAsia="pl-PL"/>
        </w:rPr>
        <w:t xml:space="preserve">). </w:t>
      </w:r>
    </w:p>
    <w:p w14:paraId="64C140F7" w14:textId="483159FB" w:rsidR="002B2DD2" w:rsidRDefault="00D154BE" w:rsidP="00D154BE">
      <w:pPr>
        <w:rPr>
          <w:rFonts w:eastAsia="Times New Roman" w:cs="Tahoma"/>
          <w:color w:val="000000"/>
          <w:szCs w:val="19"/>
          <w:lang w:eastAsia="pl-PL"/>
        </w:rPr>
      </w:pPr>
      <w:r w:rsidRPr="00BB4968">
        <w:rPr>
          <w:rFonts w:eastAsia="Times New Roman" w:cs="Tahoma"/>
          <w:color w:val="000000"/>
          <w:szCs w:val="19"/>
          <w:lang w:eastAsia="pl-PL"/>
        </w:rPr>
        <w:t>Zmiany w rolnictwie są efektem dostosowania do otoczenia gospodarczego, zapotrzebowania konsumentów na określoną jakość produktów rolnych, czy dostosowaniem do zmian klimatycznych i środowiskowych. Nie bez znaczenia jest realizacja Wspólnej Polityki Rolnej, która stymuluje zmiany strukturalne w rolnictwie</w:t>
      </w:r>
      <w:r w:rsidR="00CD10E2">
        <w:rPr>
          <w:rFonts w:eastAsia="Times New Roman" w:cs="Tahoma"/>
          <w:color w:val="000000"/>
          <w:szCs w:val="19"/>
          <w:lang w:eastAsia="pl-PL"/>
        </w:rPr>
        <w:t>.</w:t>
      </w:r>
    </w:p>
    <w:p w14:paraId="15B1AC9A" w14:textId="77777777" w:rsidR="00B152C9" w:rsidRPr="006E5D5A" w:rsidRDefault="00B152C9" w:rsidP="00A20D6B">
      <w:pPr>
        <w:spacing w:before="0" w:after="0" w:line="360" w:lineRule="auto"/>
        <w:ind w:right="492"/>
        <w:rPr>
          <w:rFonts w:eastAsia="Fira Sans" w:cs="Fira Sans"/>
        </w:rPr>
      </w:pPr>
    </w:p>
    <w:p w14:paraId="34EEFB5D" w14:textId="0ED40DF2" w:rsidR="006E5D5A" w:rsidRPr="006E5D5A" w:rsidRDefault="006E5D5A" w:rsidP="00A20D6B">
      <w:pPr>
        <w:spacing w:before="0" w:after="240" w:line="257" w:lineRule="auto"/>
        <w:ind w:left="-6" w:hanging="11"/>
        <w:rPr>
          <w:rFonts w:eastAsia="Times New Roman" w:cstheme="minorHAnsi"/>
          <w:spacing w:val="-3"/>
          <w:szCs w:val="19"/>
        </w:rPr>
      </w:pPr>
      <w:r>
        <w:rPr>
          <w:rFonts w:eastAsia="Times New Roman" w:cstheme="minorHAnsi"/>
          <w:spacing w:val="-3"/>
          <w:szCs w:val="19"/>
        </w:rPr>
        <w:t>Tablice</w:t>
      </w:r>
      <w:r w:rsidR="00171C2C">
        <w:rPr>
          <w:rFonts w:eastAsia="Times New Roman" w:cstheme="minorHAnsi"/>
          <w:spacing w:val="-3"/>
          <w:szCs w:val="19"/>
        </w:rPr>
        <w:t xml:space="preserve"> – Dane wstępne PSR2020.</w:t>
      </w:r>
      <w:r w:rsidRPr="006E5D5A">
        <w:rPr>
          <w:rFonts w:eastAsia="Times New Roman" w:cstheme="minorHAnsi"/>
          <w:spacing w:val="-3"/>
          <w:szCs w:val="19"/>
        </w:rPr>
        <w:t>xl</w:t>
      </w:r>
      <w:r w:rsidR="00171C2C">
        <w:rPr>
          <w:rFonts w:eastAsia="Times New Roman" w:cstheme="minorHAnsi"/>
          <w:spacing w:val="-3"/>
          <w:szCs w:val="19"/>
        </w:rPr>
        <w:t>s</w:t>
      </w:r>
      <w:r w:rsidRPr="006E5D5A">
        <w:rPr>
          <w:rFonts w:eastAsia="Times New Roman" w:cstheme="minorHAnsi"/>
          <w:spacing w:val="-3"/>
          <w:szCs w:val="19"/>
        </w:rPr>
        <w:t>.</w:t>
      </w:r>
    </w:p>
    <w:p w14:paraId="4F2DF5ED" w14:textId="77777777" w:rsidR="006E5D5A" w:rsidRPr="006E5D5A" w:rsidRDefault="006E5D5A" w:rsidP="006E5D5A">
      <w:pPr>
        <w:spacing w:before="0" w:after="160"/>
        <w:ind w:left="-5" w:right="61"/>
        <w:rPr>
          <w:szCs w:val="19"/>
        </w:rPr>
      </w:pPr>
      <w:r w:rsidRPr="006E5D5A">
        <w:rPr>
          <w:szCs w:val="19"/>
        </w:rPr>
        <w:t>W przypadku cytowania danych Głównego Urzędu Statystycznego prosimy o zamieszczenie informacji: „Źródło danych GUS”, a przypadku publikowania obliczeń dokonanych na danych opublikowanych przez GUS prosimy o zamieszczenie informacji: „Opracowanie własne na podstawie danych GUS”.</w:t>
      </w:r>
    </w:p>
    <w:p w14:paraId="5E3ABF59" w14:textId="77777777" w:rsidR="006E5D5A" w:rsidRPr="006E5D5A" w:rsidRDefault="006E5D5A" w:rsidP="00D154BE">
      <w:pPr>
        <w:rPr>
          <w:szCs w:val="19"/>
        </w:rPr>
        <w:sectPr w:rsidR="006E5D5A" w:rsidRPr="006E5D5A" w:rsidSect="003B18B6">
          <w:headerReference w:type="default" r:id="rId17"/>
          <w:footerReference w:type="default" r:id="rId18"/>
          <w:headerReference w:type="first" r:id="rId19"/>
          <w:footerReference w:type="first" r:id="rId20"/>
          <w:pgSz w:w="11906" w:h="16838"/>
          <w:pgMar w:top="720" w:right="3119" w:bottom="720" w:left="720" w:header="284" w:footer="283" w:gutter="0"/>
          <w:cols w:space="708"/>
          <w:titlePg/>
          <w:docGrid w:linePitch="360"/>
        </w:sectPr>
      </w:pPr>
    </w:p>
    <w:p w14:paraId="233790FE" w14:textId="77777777" w:rsidR="000470AA" w:rsidRDefault="000470AA" w:rsidP="000470AA">
      <w:pPr>
        <w:rPr>
          <w:sz w:val="18"/>
        </w:rPr>
      </w:pPr>
    </w:p>
    <w:tbl>
      <w:tblPr>
        <w:tblpPr w:leftFromText="141" w:rightFromText="141" w:vertAnchor="text" w:horzAnchor="margin" w:tblpXSpec="center" w:tblpY="-47"/>
        <w:tblW w:w="0" w:type="auto"/>
        <w:tblLook w:val="04A0" w:firstRow="1" w:lastRow="0" w:firstColumn="1" w:lastColumn="0" w:noHBand="0" w:noVBand="1"/>
      </w:tblPr>
      <w:tblGrid>
        <w:gridCol w:w="4242"/>
        <w:gridCol w:w="3825"/>
      </w:tblGrid>
      <w:tr w:rsidR="000470AA" w:rsidRPr="008F3638" w14:paraId="23379108" w14:textId="77777777" w:rsidTr="00E23337">
        <w:trPr>
          <w:trHeight w:val="1912"/>
        </w:trPr>
        <w:tc>
          <w:tcPr>
            <w:tcW w:w="4379" w:type="dxa"/>
          </w:tcPr>
          <w:p w14:paraId="233790FF" w14:textId="77777777" w:rsidR="000470AA" w:rsidRPr="004A1D19" w:rsidRDefault="000470AA" w:rsidP="00E23337">
            <w:pPr>
              <w:spacing w:before="0" w:after="0" w:line="276" w:lineRule="auto"/>
              <w:rPr>
                <w:rFonts w:cs="Arial"/>
                <w:sz w:val="20"/>
              </w:rPr>
            </w:pPr>
            <w:r w:rsidRPr="004A1D19">
              <w:rPr>
                <w:rFonts w:cs="Arial"/>
                <w:sz w:val="20"/>
              </w:rPr>
              <w:t>Opracowanie merytoryczne:</w:t>
            </w:r>
          </w:p>
          <w:p w14:paraId="23379100" w14:textId="2892ADD1" w:rsidR="00E76EE5" w:rsidRPr="004A1D19" w:rsidRDefault="00E44790" w:rsidP="00956F30">
            <w:pPr>
              <w:spacing w:before="0" w:after="0" w:line="276" w:lineRule="auto"/>
              <w:rPr>
                <w:rFonts w:cs="Arial"/>
                <w:b/>
                <w:sz w:val="20"/>
              </w:rPr>
            </w:pPr>
            <w:r w:rsidRPr="004A1D19">
              <w:rPr>
                <w:rFonts w:cs="Arial"/>
                <w:b/>
                <w:sz w:val="20"/>
              </w:rPr>
              <w:t xml:space="preserve">Departament </w:t>
            </w:r>
            <w:r w:rsidR="001B281F">
              <w:rPr>
                <w:rFonts w:cs="Arial"/>
                <w:b/>
                <w:sz w:val="20"/>
              </w:rPr>
              <w:t>Rolnictwa</w:t>
            </w:r>
          </w:p>
          <w:p w14:paraId="23379101" w14:textId="7352B43D" w:rsidR="00956F30" w:rsidRPr="004A1D19" w:rsidRDefault="00956F30" w:rsidP="00956F30">
            <w:pPr>
              <w:spacing w:before="0" w:after="0" w:line="276" w:lineRule="auto"/>
              <w:rPr>
                <w:rFonts w:cs="Arial"/>
                <w:b/>
                <w:sz w:val="20"/>
              </w:rPr>
            </w:pPr>
            <w:r w:rsidRPr="004A1D19">
              <w:rPr>
                <w:rFonts w:cs="Arial"/>
                <w:b/>
                <w:sz w:val="20"/>
              </w:rPr>
              <w:t xml:space="preserve">Dyrektor </w:t>
            </w:r>
            <w:r w:rsidR="001B281F">
              <w:rPr>
                <w:rFonts w:cs="Arial"/>
                <w:b/>
                <w:sz w:val="20"/>
              </w:rPr>
              <w:t>Artur Łączyński</w:t>
            </w:r>
          </w:p>
          <w:p w14:paraId="23379102" w14:textId="3A49D9F0" w:rsidR="000470AA" w:rsidRPr="004A1D19" w:rsidRDefault="000470AA" w:rsidP="00D00796">
            <w:pPr>
              <w:pStyle w:val="Nagwek3"/>
              <w:spacing w:before="0" w:line="240" w:lineRule="auto"/>
              <w:rPr>
                <w:rFonts w:ascii="Fira Sans" w:hAnsi="Fira Sans" w:cs="Arial"/>
                <w:color w:val="auto"/>
                <w:sz w:val="20"/>
                <w:lang w:val="fi-FI"/>
              </w:rPr>
            </w:pPr>
            <w:r w:rsidRPr="004A1D19">
              <w:rPr>
                <w:rFonts w:ascii="Fira Sans" w:hAnsi="Fira Sans" w:cs="Arial"/>
                <w:color w:val="auto"/>
                <w:sz w:val="20"/>
                <w:lang w:val="fi-FI"/>
              </w:rPr>
              <w:t>Tel: 22</w:t>
            </w:r>
            <w:r w:rsidR="001B281F">
              <w:rPr>
                <w:rFonts w:ascii="Fira Sans" w:hAnsi="Fira Sans" w:cs="Arial"/>
                <w:color w:val="auto"/>
                <w:sz w:val="20"/>
                <w:lang w:val="fi-FI"/>
              </w:rPr>
              <w:t> 608 34 62</w:t>
            </w:r>
          </w:p>
          <w:p w14:paraId="23379103" w14:textId="77777777" w:rsidR="000470AA" w:rsidRPr="004A1D19" w:rsidRDefault="000470AA" w:rsidP="00D00796">
            <w:pPr>
              <w:pStyle w:val="Nagwek3"/>
              <w:spacing w:before="0" w:line="240" w:lineRule="auto"/>
              <w:rPr>
                <w:rFonts w:ascii="Fira Sans" w:hAnsi="Fira Sans"/>
                <w:color w:val="auto"/>
                <w:lang w:val="fi-FI"/>
              </w:rPr>
            </w:pPr>
          </w:p>
        </w:tc>
        <w:tc>
          <w:tcPr>
            <w:tcW w:w="3942" w:type="dxa"/>
          </w:tcPr>
          <w:p w14:paraId="23379104" w14:textId="77777777" w:rsidR="000470AA" w:rsidRPr="004A1D19" w:rsidRDefault="000470AA" w:rsidP="00E23337">
            <w:pPr>
              <w:spacing w:before="0" w:after="0" w:line="276" w:lineRule="auto"/>
              <w:rPr>
                <w:rFonts w:cs="Arial"/>
                <w:b/>
                <w:sz w:val="20"/>
              </w:rPr>
            </w:pPr>
            <w:r w:rsidRPr="004A1D19">
              <w:rPr>
                <w:rFonts w:cs="Arial"/>
                <w:sz w:val="20"/>
              </w:rPr>
              <w:t>Rozpowszechnianie:</w:t>
            </w:r>
            <w:r w:rsidRPr="004A1D19">
              <w:rPr>
                <w:rFonts w:cs="Arial"/>
                <w:sz w:val="20"/>
              </w:rPr>
              <w:br/>
            </w:r>
            <w:r w:rsidRPr="004A1D19">
              <w:rPr>
                <w:rFonts w:cs="Arial"/>
                <w:b/>
                <w:sz w:val="20"/>
              </w:rPr>
              <w:t>Rzecznik Prasowy Prezesa GUS</w:t>
            </w:r>
          </w:p>
          <w:p w14:paraId="23379105" w14:textId="77777777" w:rsidR="000470AA" w:rsidRPr="004A1D19" w:rsidRDefault="000470AA" w:rsidP="00D00796">
            <w:pPr>
              <w:pStyle w:val="Nagwek3"/>
              <w:spacing w:before="0" w:line="240" w:lineRule="auto"/>
              <w:rPr>
                <w:rFonts w:ascii="Fira Sans" w:hAnsi="Fira Sans" w:cs="Arial"/>
                <w:b/>
                <w:color w:val="auto"/>
                <w:sz w:val="20"/>
                <w:szCs w:val="28"/>
              </w:rPr>
            </w:pPr>
            <w:r w:rsidRPr="004A1D19">
              <w:rPr>
                <w:rFonts w:ascii="Fira Sans" w:hAnsi="Fira Sans" w:cs="Arial"/>
                <w:b/>
                <w:color w:val="auto"/>
                <w:sz w:val="20"/>
                <w:szCs w:val="28"/>
              </w:rPr>
              <w:t xml:space="preserve">Karolina </w:t>
            </w:r>
            <w:r w:rsidR="00136736" w:rsidRPr="004A1D19">
              <w:rPr>
                <w:rFonts w:ascii="Fira Sans" w:hAnsi="Fira Sans" w:cs="Arial"/>
                <w:b/>
                <w:color w:val="auto"/>
                <w:sz w:val="20"/>
                <w:szCs w:val="28"/>
              </w:rPr>
              <w:t>Banaszek</w:t>
            </w:r>
          </w:p>
          <w:p w14:paraId="23379106" w14:textId="77777777" w:rsidR="000470AA" w:rsidRPr="004A1D19" w:rsidRDefault="000470AA" w:rsidP="00D00796">
            <w:pPr>
              <w:pStyle w:val="Nagwek3"/>
              <w:spacing w:before="0" w:line="240" w:lineRule="auto"/>
              <w:rPr>
                <w:rFonts w:ascii="Fira Sans" w:hAnsi="Fira Sans" w:cs="Arial"/>
                <w:color w:val="auto"/>
                <w:sz w:val="20"/>
                <w:lang w:val="fi-FI"/>
              </w:rPr>
            </w:pPr>
            <w:r w:rsidRPr="004A1D19">
              <w:rPr>
                <w:rFonts w:ascii="Fira Sans" w:hAnsi="Fira Sans" w:cs="Arial"/>
                <w:color w:val="auto"/>
                <w:sz w:val="20"/>
                <w:lang w:val="fi-FI"/>
              </w:rPr>
              <w:t xml:space="preserve">Tel: </w:t>
            </w:r>
            <w:r w:rsidR="00F60BA8" w:rsidRPr="004A1D19">
              <w:rPr>
                <w:rFonts w:ascii="Fira Sans" w:hAnsi="Fira Sans" w:cs="Arial"/>
                <w:color w:val="auto"/>
                <w:sz w:val="20"/>
                <w:lang w:val="fi-FI"/>
              </w:rPr>
              <w:t>695 255 011</w:t>
            </w:r>
          </w:p>
          <w:p w14:paraId="23379107" w14:textId="77777777" w:rsidR="000470AA" w:rsidRPr="004A1D19" w:rsidRDefault="000470AA" w:rsidP="00D00796">
            <w:pPr>
              <w:pStyle w:val="Nagwek3"/>
              <w:spacing w:before="0" w:line="240" w:lineRule="auto"/>
              <w:rPr>
                <w:rFonts w:ascii="Fira Sans" w:hAnsi="Fira Sans" w:cs="Arial"/>
                <w:color w:val="auto"/>
                <w:sz w:val="20"/>
                <w:szCs w:val="20"/>
                <w:lang w:val="en-US"/>
              </w:rPr>
            </w:pPr>
          </w:p>
        </w:tc>
      </w:tr>
    </w:tbl>
    <w:p w14:paraId="23379109" w14:textId="77777777" w:rsidR="000470AA" w:rsidRDefault="000470AA" w:rsidP="000470AA">
      <w:pPr>
        <w:rPr>
          <w:sz w:val="20"/>
        </w:rPr>
      </w:pPr>
    </w:p>
    <w:p w14:paraId="2337910A" w14:textId="77777777" w:rsidR="000470AA" w:rsidRDefault="000470AA" w:rsidP="000470AA">
      <w:pPr>
        <w:rPr>
          <w:sz w:val="18"/>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390"/>
        <w:gridCol w:w="595"/>
        <w:gridCol w:w="3082"/>
      </w:tblGrid>
      <w:tr w:rsidR="000470AA" w14:paraId="23379110" w14:textId="77777777" w:rsidTr="00CB2F90">
        <w:trPr>
          <w:trHeight w:val="610"/>
        </w:trPr>
        <w:tc>
          <w:tcPr>
            <w:tcW w:w="2721" w:type="pct"/>
            <w:vMerge w:val="restart"/>
          </w:tcPr>
          <w:p w14:paraId="2337910B" w14:textId="77777777" w:rsidR="000470AA" w:rsidRPr="00C91687" w:rsidRDefault="000470AA" w:rsidP="00CB2F90">
            <w:pPr>
              <w:rPr>
                <w:b/>
                <w:sz w:val="20"/>
              </w:rPr>
            </w:pPr>
            <w:r w:rsidRPr="00C91687">
              <w:rPr>
                <w:b/>
                <w:sz w:val="20"/>
              </w:rPr>
              <w:t xml:space="preserve">Wydział Współpracy z Mediami </w:t>
            </w:r>
          </w:p>
          <w:p w14:paraId="2337910C" w14:textId="77777777" w:rsidR="000470AA" w:rsidRPr="00C91687" w:rsidRDefault="006125F9" w:rsidP="00CB2F90">
            <w:pPr>
              <w:rPr>
                <w:sz w:val="20"/>
              </w:rPr>
            </w:pPr>
            <w:r w:rsidRPr="00674DE5">
              <w:rPr>
                <w:sz w:val="20"/>
              </w:rPr>
              <w:t>T</w:t>
            </w:r>
            <w:r w:rsidR="00396691">
              <w:rPr>
                <w:sz w:val="20"/>
              </w:rPr>
              <w:t>el</w:t>
            </w:r>
            <w:r w:rsidR="000470AA" w:rsidRPr="00674DE5">
              <w:rPr>
                <w:sz w:val="20"/>
              </w:rPr>
              <w:t xml:space="preserve">: </w:t>
            </w:r>
            <w:r w:rsidR="00097840">
              <w:rPr>
                <w:sz w:val="20"/>
              </w:rPr>
              <w:t>22 608 34 91, 22</w:t>
            </w:r>
            <w:r w:rsidR="000470AA" w:rsidRPr="00C91687">
              <w:rPr>
                <w:sz w:val="20"/>
              </w:rPr>
              <w:t xml:space="preserve"> 608 38 04 </w:t>
            </w:r>
          </w:p>
          <w:p w14:paraId="2337910D" w14:textId="77777777" w:rsidR="000470AA" w:rsidRPr="00A82D31" w:rsidRDefault="000470AA" w:rsidP="00CB2F90">
            <w:pPr>
              <w:rPr>
                <w:sz w:val="18"/>
                <w:lang w:val="en-GB"/>
              </w:rPr>
            </w:pPr>
            <w:r w:rsidRPr="00A82D31">
              <w:rPr>
                <w:b/>
                <w:sz w:val="20"/>
                <w:lang w:val="en-GB"/>
              </w:rPr>
              <w:t>e-mail:</w:t>
            </w:r>
            <w:r w:rsidRPr="00A82D31">
              <w:rPr>
                <w:sz w:val="20"/>
                <w:lang w:val="en-GB"/>
              </w:rPr>
              <w:t xml:space="preserve"> </w:t>
            </w:r>
            <w:hyperlink r:id="rId21" w:history="1">
              <w:r w:rsidRPr="00394E26">
                <w:rPr>
                  <w:rStyle w:val="Hipercze"/>
                  <w:rFonts w:eastAsiaTheme="majorEastAsia" w:cs="Arial"/>
                  <w:b/>
                  <w:color w:val="auto"/>
                  <w:sz w:val="20"/>
                  <w:szCs w:val="20"/>
                  <w:lang w:val="en-US"/>
                </w:rPr>
                <w:t>obslugaprasowa@stat.gov.pl</w:t>
              </w:r>
            </w:hyperlink>
          </w:p>
        </w:tc>
        <w:tc>
          <w:tcPr>
            <w:tcW w:w="369" w:type="pct"/>
            <w:vAlign w:val="center"/>
          </w:tcPr>
          <w:p w14:paraId="2337910E" w14:textId="77777777" w:rsidR="000470AA" w:rsidRPr="00A82D31" w:rsidRDefault="000470AA" w:rsidP="000470AA">
            <w:pPr>
              <w:rPr>
                <w:sz w:val="18"/>
                <w:lang w:val="en-GB"/>
              </w:rPr>
            </w:pPr>
            <w:r>
              <w:rPr>
                <w:noProof/>
                <w:sz w:val="20"/>
                <w:lang w:eastAsia="pl-PL"/>
              </w:rPr>
              <w:drawing>
                <wp:anchor distT="0" distB="0" distL="114300" distR="114300" simplePos="0" relativeHeight="251732992" behindDoc="0" locked="0" layoutInCell="1" allowOverlap="1" wp14:anchorId="23379122" wp14:editId="23379123">
                  <wp:simplePos x="0" y="0"/>
                  <wp:positionH relativeFrom="column">
                    <wp:posOffset>78740</wp:posOffset>
                  </wp:positionH>
                  <wp:positionV relativeFrom="paragraph">
                    <wp:posOffset>21590</wp:posOffset>
                  </wp:positionV>
                  <wp:extent cx="256540" cy="251460"/>
                  <wp:effectExtent l="0" t="0" r="0" b="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vAlign w:val="center"/>
          </w:tcPr>
          <w:p w14:paraId="2337910F" w14:textId="77777777" w:rsidR="000470AA" w:rsidRDefault="000470AA" w:rsidP="000470AA">
            <w:pPr>
              <w:rPr>
                <w:sz w:val="18"/>
              </w:rPr>
            </w:pPr>
            <w:r w:rsidRPr="003D5F42">
              <w:rPr>
                <w:sz w:val="20"/>
              </w:rPr>
              <w:t>www.stat.gov.pl</w:t>
            </w:r>
          </w:p>
        </w:tc>
      </w:tr>
      <w:tr w:rsidR="000470AA" w14:paraId="23379114" w14:textId="77777777" w:rsidTr="000470AA">
        <w:trPr>
          <w:trHeight w:val="436"/>
        </w:trPr>
        <w:tc>
          <w:tcPr>
            <w:tcW w:w="2721" w:type="pct"/>
            <w:vMerge/>
            <w:vAlign w:val="center"/>
          </w:tcPr>
          <w:p w14:paraId="23379111" w14:textId="77777777" w:rsidR="000470AA" w:rsidRDefault="000470AA" w:rsidP="000470AA">
            <w:pPr>
              <w:rPr>
                <w:sz w:val="18"/>
              </w:rPr>
            </w:pPr>
          </w:p>
        </w:tc>
        <w:tc>
          <w:tcPr>
            <w:tcW w:w="369" w:type="pct"/>
            <w:vAlign w:val="center"/>
          </w:tcPr>
          <w:p w14:paraId="23379112" w14:textId="77777777" w:rsidR="000470AA" w:rsidRDefault="000470AA" w:rsidP="000470AA">
            <w:pPr>
              <w:rPr>
                <w:sz w:val="18"/>
              </w:rPr>
            </w:pPr>
            <w:r>
              <w:rPr>
                <w:noProof/>
                <w:sz w:val="20"/>
                <w:lang w:eastAsia="pl-PL"/>
              </w:rPr>
              <w:drawing>
                <wp:anchor distT="0" distB="0" distL="114300" distR="114300" simplePos="0" relativeHeight="251735040" behindDoc="0" locked="0" layoutInCell="1" allowOverlap="1" wp14:anchorId="23379124" wp14:editId="23379125">
                  <wp:simplePos x="0" y="0"/>
                  <wp:positionH relativeFrom="column">
                    <wp:posOffset>81280</wp:posOffset>
                  </wp:positionH>
                  <wp:positionV relativeFrom="paragraph">
                    <wp:posOffset>18415</wp:posOffset>
                  </wp:positionV>
                  <wp:extent cx="25654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tcPr>
          <w:p w14:paraId="23379113" w14:textId="77777777" w:rsidR="000470AA" w:rsidRDefault="000470AA" w:rsidP="000470AA">
            <w:pPr>
              <w:rPr>
                <w:sz w:val="18"/>
              </w:rPr>
            </w:pPr>
            <w:r w:rsidRPr="003D5F42">
              <w:rPr>
                <w:sz w:val="20"/>
              </w:rPr>
              <w:t>@GUS_STAT</w:t>
            </w:r>
          </w:p>
        </w:tc>
      </w:tr>
      <w:tr w:rsidR="000470AA" w14:paraId="23379118" w14:textId="77777777" w:rsidTr="000470AA">
        <w:trPr>
          <w:trHeight w:val="436"/>
        </w:trPr>
        <w:tc>
          <w:tcPr>
            <w:tcW w:w="2721" w:type="pct"/>
            <w:vMerge/>
            <w:vAlign w:val="center"/>
          </w:tcPr>
          <w:p w14:paraId="23379115" w14:textId="77777777" w:rsidR="000470AA" w:rsidRDefault="000470AA" w:rsidP="000470AA">
            <w:pPr>
              <w:rPr>
                <w:sz w:val="18"/>
              </w:rPr>
            </w:pPr>
          </w:p>
        </w:tc>
        <w:tc>
          <w:tcPr>
            <w:tcW w:w="369" w:type="pct"/>
            <w:vAlign w:val="center"/>
          </w:tcPr>
          <w:p w14:paraId="23379116" w14:textId="77777777" w:rsidR="000470AA" w:rsidRDefault="000470AA" w:rsidP="000470AA">
            <w:pPr>
              <w:rPr>
                <w:sz w:val="18"/>
              </w:rPr>
            </w:pPr>
            <w:r>
              <w:rPr>
                <w:noProof/>
                <w:sz w:val="20"/>
                <w:lang w:eastAsia="pl-PL"/>
              </w:rPr>
              <w:drawing>
                <wp:anchor distT="0" distB="0" distL="114300" distR="114300" simplePos="0" relativeHeight="251734016" behindDoc="0" locked="0" layoutInCell="1" allowOverlap="1" wp14:anchorId="23379126" wp14:editId="23379127">
                  <wp:simplePos x="0" y="0"/>
                  <wp:positionH relativeFrom="column">
                    <wp:posOffset>78740</wp:posOffset>
                  </wp:positionH>
                  <wp:positionV relativeFrom="paragraph">
                    <wp:posOffset>15240</wp:posOffset>
                  </wp:positionV>
                  <wp:extent cx="256540" cy="251460"/>
                  <wp:effectExtent l="0" t="0" r="0" b="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tcPr>
          <w:p w14:paraId="23379117" w14:textId="77777777" w:rsidR="000470AA" w:rsidRDefault="000470AA" w:rsidP="000470AA">
            <w:pPr>
              <w:rPr>
                <w:sz w:val="20"/>
              </w:rPr>
            </w:pPr>
            <w:r w:rsidRPr="003D5F42">
              <w:rPr>
                <w:sz w:val="20"/>
              </w:rPr>
              <w:t>@GlownyUrzadStatystyczny</w:t>
            </w:r>
          </w:p>
        </w:tc>
      </w:tr>
    </w:tbl>
    <w:p w14:paraId="23379119" w14:textId="667323AE" w:rsidR="00D261A2" w:rsidRPr="00001C5B" w:rsidRDefault="00D261A2" w:rsidP="00E76D26">
      <w:pPr>
        <w:rPr>
          <w:sz w:val="18"/>
        </w:rPr>
      </w:pPr>
    </w:p>
    <w:sectPr w:rsidR="00D261A2" w:rsidRPr="00001C5B" w:rsidSect="003B18B6">
      <w:headerReference w:type="default" r:id="rId25"/>
      <w:footerReference w:type="default" r:id="rId26"/>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EEF717" w14:textId="77777777" w:rsidR="006C44B7" w:rsidRDefault="006C44B7" w:rsidP="000662E2">
      <w:pPr>
        <w:spacing w:after="0" w:line="240" w:lineRule="auto"/>
      </w:pPr>
      <w:r>
        <w:separator/>
      </w:r>
    </w:p>
  </w:endnote>
  <w:endnote w:type="continuationSeparator" w:id="0">
    <w:p w14:paraId="42016BDA" w14:textId="77777777" w:rsidR="006C44B7" w:rsidRDefault="006C44B7"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1289576"/>
      <w:docPartObj>
        <w:docPartGallery w:val="Page Numbers (Bottom of Page)"/>
        <w:docPartUnique/>
      </w:docPartObj>
    </w:sdtPr>
    <w:sdtEndPr/>
    <w:sdtContent>
      <w:p w14:paraId="23379130" w14:textId="77777777" w:rsidR="00EB556D" w:rsidRDefault="00541E6E" w:rsidP="003B18B6">
        <w:pPr>
          <w:pStyle w:val="Stopka"/>
          <w:jc w:val="center"/>
        </w:pPr>
        <w:r>
          <w:fldChar w:fldCharType="begin"/>
        </w:r>
        <w:r>
          <w:instrText>PAGE   \* MERGEFORMAT</w:instrText>
        </w:r>
        <w:r>
          <w:fldChar w:fldCharType="separate"/>
        </w:r>
        <w:r w:rsidR="00190B75">
          <w:rPr>
            <w:noProof/>
          </w:rPr>
          <w:t>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7293250"/>
      <w:docPartObj>
        <w:docPartGallery w:val="Page Numbers (Bottom of Page)"/>
        <w:docPartUnique/>
      </w:docPartObj>
    </w:sdtPr>
    <w:sdtEndPr/>
    <w:sdtContent>
      <w:p w14:paraId="23379135" w14:textId="77777777" w:rsidR="00EB556D" w:rsidRDefault="00541E6E" w:rsidP="003B18B6">
        <w:pPr>
          <w:pStyle w:val="Stopka"/>
          <w:jc w:val="center"/>
        </w:pPr>
        <w:r>
          <w:fldChar w:fldCharType="begin"/>
        </w:r>
        <w:r>
          <w:instrText>PAGE   \* MERGEFORMAT</w:instrText>
        </w:r>
        <w:r>
          <w:fldChar w:fldCharType="separate"/>
        </w:r>
        <w:r w:rsidR="00190B75">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5636839"/>
      <w:docPartObj>
        <w:docPartGallery w:val="Page Numbers (Bottom of Page)"/>
        <w:docPartUnique/>
      </w:docPartObj>
    </w:sdtPr>
    <w:sdtEndPr/>
    <w:sdtContent>
      <w:p w14:paraId="23379138" w14:textId="77777777" w:rsidR="003B18B6" w:rsidRDefault="003B18B6" w:rsidP="003B18B6">
        <w:pPr>
          <w:pStyle w:val="Stopka"/>
          <w:jc w:val="center"/>
        </w:pPr>
        <w:r>
          <w:fldChar w:fldCharType="begin"/>
        </w:r>
        <w:r>
          <w:instrText>PAGE   \* MERGEFORMAT</w:instrText>
        </w:r>
        <w:r>
          <w:fldChar w:fldCharType="separate"/>
        </w:r>
        <w:r w:rsidR="00190B75">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7DB44C" w14:textId="77777777" w:rsidR="006C44B7" w:rsidRDefault="006C44B7" w:rsidP="000662E2">
      <w:pPr>
        <w:spacing w:after="0" w:line="240" w:lineRule="auto"/>
      </w:pPr>
      <w:r>
        <w:separator/>
      </w:r>
    </w:p>
  </w:footnote>
  <w:footnote w:type="continuationSeparator" w:id="0">
    <w:p w14:paraId="7C7C3FD7" w14:textId="77777777" w:rsidR="006C44B7" w:rsidRDefault="006C44B7" w:rsidP="00066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7912E" w14:textId="77777777" w:rsidR="000662E2" w:rsidRDefault="003C6C8D">
    <w:pPr>
      <w:pStyle w:val="Nagwek"/>
    </w:pPr>
    <w:r>
      <w:rPr>
        <w:noProof/>
        <w:lang w:eastAsia="pl-PL"/>
      </w:rPr>
      <mc:AlternateContent>
        <mc:Choice Requires="wps">
          <w:drawing>
            <wp:anchor distT="0" distB="0" distL="114300" distR="114300" simplePos="0" relativeHeight="251662336" behindDoc="1" locked="0" layoutInCell="1" allowOverlap="1" wp14:anchorId="23379139" wp14:editId="2337913A">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9EA677"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14:paraId="2337912F" w14:textId="77777777" w:rsidR="000662E2" w:rsidRDefault="000662E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79131" w14:textId="61A5C704" w:rsidR="00003437" w:rsidRDefault="0025481E">
    <w:pPr>
      <w:pStyle w:val="Nagwek"/>
      <w:rPr>
        <w:noProof/>
        <w:lang w:eastAsia="pl-PL"/>
      </w:rPr>
    </w:pPr>
    <w:r>
      <w:rPr>
        <w:noProof/>
        <w:lang w:eastAsia="pl-PL"/>
      </w:rPr>
      <w:drawing>
        <wp:anchor distT="0" distB="0" distL="114300" distR="114300" simplePos="0" relativeHeight="251670528" behindDoc="0" locked="0" layoutInCell="1" allowOverlap="1" wp14:anchorId="17111CDD" wp14:editId="77C9225A">
          <wp:simplePos x="0" y="0"/>
          <wp:positionH relativeFrom="column">
            <wp:posOffset>3175</wp:posOffset>
          </wp:positionH>
          <wp:positionV relativeFrom="paragraph">
            <wp:posOffset>158589</wp:posOffset>
          </wp:positionV>
          <wp:extent cx="2190138" cy="432000"/>
          <wp:effectExtent l="0" t="0" r="635" b="6350"/>
          <wp:wrapSquare wrapText="bothSides"/>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US PSR 2020 logo kolor pelne-01.png"/>
                  <pic:cNvPicPr/>
                </pic:nvPicPr>
                <pic:blipFill>
                  <a:blip r:embed="rId1">
                    <a:extLst>
                      <a:ext uri="{28A0092B-C50C-407E-A947-70E740481C1C}">
                        <a14:useLocalDpi xmlns:a14="http://schemas.microsoft.com/office/drawing/2010/main" val="0"/>
                      </a:ext>
                    </a:extLst>
                  </a:blip>
                  <a:stretch>
                    <a:fillRect/>
                  </a:stretch>
                </pic:blipFill>
                <pic:spPr>
                  <a:xfrm>
                    <a:off x="0" y="0"/>
                    <a:ext cx="2190138" cy="432000"/>
                  </a:xfrm>
                  <a:prstGeom prst="rect">
                    <a:avLst/>
                  </a:prstGeom>
                </pic:spPr>
              </pic:pic>
            </a:graphicData>
          </a:graphic>
          <wp14:sizeRelH relativeFrom="margin">
            <wp14:pctWidth>0</wp14:pctWidth>
          </wp14:sizeRelH>
          <wp14:sizeRelV relativeFrom="margin">
            <wp14:pctHeight>0</wp14:pctHeight>
          </wp14:sizeRelV>
        </wp:anchor>
      </w:drawing>
    </w:r>
    <w:r w:rsidR="00AE2D4B" w:rsidRPr="00F37172">
      <w:rPr>
        <w:noProof/>
        <w:lang w:eastAsia="pl-PL"/>
      </w:rPr>
      <mc:AlternateContent>
        <mc:Choice Requires="wps">
          <w:drawing>
            <wp:anchor distT="0" distB="0" distL="114300" distR="114300" simplePos="0" relativeHeight="251668480" behindDoc="0" locked="0" layoutInCell="1" allowOverlap="1" wp14:anchorId="2337913D" wp14:editId="6D678513">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854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37915A" w14:textId="77777777" w:rsidR="00F37172" w:rsidRPr="003C6C8D" w:rsidRDefault="00F37172" w:rsidP="00074DD8">
                          <w:pPr>
                            <w:spacing w:before="0" w:after="0" w:line="240" w:lineRule="auto"/>
                            <w:ind w:left="227"/>
                            <w:jc w:val="both"/>
                            <w:rPr>
                              <w:rFonts w:ascii="Fira Sans SemiBold" w:hAnsi="Fira Sans SemiBold"/>
                            </w:rPr>
                          </w:pPr>
                          <w:r>
                            <w:rPr>
                              <w:rFonts w:ascii="Fira Sans SemiBold" w:hAnsi="Fira Sans SemiBold"/>
                            </w:rPr>
                            <w:t>INFORMACJE SYGNALNE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7913D" id="Schemat blokowy: opóźnienie 6" o:spid="_x0000_s1033"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" adj="-11796480,,5400" path="m,l3220948,v169038,,306070,137032,306070,306070c3527018,475108,3389986,612140,3220948,612140l,612140,,xe" fillcolor="#008542" stroked="f" strokeweight="1pt">
              <v:stroke joinstyle="miter"/>
              <v:formulas/>
              <v:path arrowok="t" o:connecttype="custom" o:connectlocs="0,0;1881761,0;2060575,178753;1881761,357505;0,357505;0,0" o:connectangles="0,0,0,0,0,0" textboxrect="0,0,3527018,612140"/>
              <v:textbox>
                <w:txbxContent>
                  <w:p w14:paraId="2337915A" w14:textId="77777777" w:rsidR="00F37172" w:rsidRPr="003C6C8D" w:rsidRDefault="00F37172" w:rsidP="00074DD8">
                    <w:pPr>
                      <w:spacing w:before="0" w:after="0" w:line="240" w:lineRule="auto"/>
                      <w:ind w:left="227"/>
                      <w:jc w:val="both"/>
                      <w:rPr>
                        <w:rFonts w:ascii="Fira Sans SemiBold" w:hAnsi="Fira Sans SemiBold"/>
                      </w:rPr>
                    </w:pPr>
                    <w:r>
                      <w:rPr>
                        <w:rFonts w:ascii="Fira Sans SemiBold" w:hAnsi="Fira Sans SemiBold"/>
                      </w:rPr>
                      <w:t>INFORMACJE SYGNALNE</w:t>
                    </w:r>
                  </w:p>
                </w:txbxContent>
              </v:textbox>
            </v:shape>
          </w:pict>
        </mc:Fallback>
      </mc:AlternateContent>
    </w:r>
    <w:r w:rsidR="00C22105">
      <w:rPr>
        <w:noProof/>
        <w:lang w:eastAsia="pl-PL"/>
      </w:rPr>
      <mc:AlternateContent>
        <mc:Choice Requires="wps">
          <w:drawing>
            <wp:anchor distT="0" distB="0" distL="114300" distR="114300" simplePos="0" relativeHeight="251666432" behindDoc="1" locked="0" layoutInCell="1" allowOverlap="1" wp14:anchorId="2337913F" wp14:editId="23379140">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5D4E84"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r w:rsidR="00EB3333">
      <w:rPr>
        <w:noProof/>
        <w:lang w:eastAsia="pl-PL"/>
      </w:rPr>
      <w:t xml:space="preserve"> </w:t>
    </w:r>
    <w:r w:rsidR="00540C5C" w:rsidRPr="00540C5C">
      <w:rPr>
        <w:noProof/>
      </w:rPr>
      <w:t xml:space="preserve"> </w:t>
    </w:r>
  </w:p>
  <w:p w14:paraId="23379132" w14:textId="7A37C9B5" w:rsidR="00540C5C" w:rsidRDefault="00540C5C">
    <w:pPr>
      <w:pStyle w:val="Nagwek"/>
      <w:rPr>
        <w:noProof/>
        <w:lang w:eastAsia="pl-PL"/>
      </w:rPr>
    </w:pPr>
  </w:p>
  <w:p w14:paraId="23379133" w14:textId="77777777" w:rsidR="00540C5C" w:rsidRDefault="00540C5C">
    <w:pPr>
      <w:pStyle w:val="Nagwek"/>
      <w:rPr>
        <w:noProof/>
        <w:lang w:eastAsia="pl-PL"/>
      </w:rPr>
    </w:pPr>
  </w:p>
  <w:p w14:paraId="23379134" w14:textId="77777777" w:rsidR="00F32749" w:rsidRDefault="00C7346B">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23379141" wp14:editId="23379142">
              <wp:simplePos x="0" y="0"/>
              <wp:positionH relativeFrom="column">
                <wp:posOffset>5219700</wp:posOffset>
              </wp:positionH>
              <wp:positionV relativeFrom="paragraph">
                <wp:posOffset>266065</wp:posOffset>
              </wp:positionV>
              <wp:extent cx="1432293" cy="336589"/>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2337915B" w14:textId="526F3119" w:rsidR="00F37172" w:rsidRPr="005F45EE" w:rsidRDefault="002B2DD2" w:rsidP="00F37172">
                          <w:pPr>
                            <w:jc w:val="both"/>
                            <w:rPr>
                              <w:rFonts w:ascii="Fira Sans SemiBold" w:hAnsi="Fira Sans SemiBold"/>
                              <w:color w:val="008542"/>
                            </w:rPr>
                          </w:pPr>
                          <w:r>
                            <w:rPr>
                              <w:rFonts w:ascii="Fira Sans SemiBold" w:hAnsi="Fira Sans SemiBold"/>
                              <w:color w:val="008542"/>
                            </w:rPr>
                            <w:t>31.03.2021</w:t>
                          </w:r>
                          <w:r w:rsidR="00F37172" w:rsidRPr="005F45EE">
                            <w:rPr>
                              <w:rFonts w:ascii="Fira Sans SemiBold" w:hAnsi="Fira Sans SemiBold"/>
                              <w:color w:val="008542"/>
                            </w:rPr>
                            <w:t xml:space="preserve">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379141" id="_x0000_t202" coordsize="21600,21600" o:spt="202" path="m,l,21600r21600,l21600,xe">
              <v:stroke joinstyle="miter"/>
              <v:path gradientshapeok="t" o:connecttype="rect"/>
            </v:shapetype>
            <v:shape id="_x0000_s1034" type="#_x0000_t202" style="position:absolute;margin-left:411pt;margin-top:20.95pt;width:112.8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" filled="f" stroked="f">
              <v:textbox>
                <w:txbxContent>
                  <w:p w14:paraId="2337915B" w14:textId="526F3119" w:rsidR="00F37172" w:rsidRPr="005F45EE" w:rsidRDefault="002B2DD2" w:rsidP="00F37172">
                    <w:pPr>
                      <w:jc w:val="both"/>
                      <w:rPr>
                        <w:rFonts w:ascii="Fira Sans SemiBold" w:hAnsi="Fira Sans SemiBold"/>
                        <w:color w:val="008542"/>
                      </w:rPr>
                    </w:pPr>
                    <w:r>
                      <w:rPr>
                        <w:rFonts w:ascii="Fira Sans SemiBold" w:hAnsi="Fira Sans SemiBold"/>
                        <w:color w:val="008542"/>
                      </w:rPr>
                      <w:t>31.03.2021</w:t>
                    </w:r>
                    <w:r w:rsidR="00F37172" w:rsidRPr="005F45EE">
                      <w:rPr>
                        <w:rFonts w:ascii="Fira Sans SemiBold" w:hAnsi="Fira Sans SemiBold"/>
                        <w:color w:val="008542"/>
                      </w:rPr>
                      <w:t xml:space="preserve"> r.</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79136" w14:textId="77777777" w:rsidR="00607CC5" w:rsidRDefault="00607CC5">
    <w:pPr>
      <w:pStyle w:val="Nagwek"/>
    </w:pPr>
  </w:p>
  <w:p w14:paraId="23379137" w14:textId="77777777" w:rsidR="00607CC5" w:rsidRDefault="00607CC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124.5pt;height:125.25pt;visibility:visible;mso-wrap-style:square" o:bullet="t">
        <v:imagedata r:id="rId1" o:title=""/>
      </v:shape>
    </w:pict>
  </w:numPicBullet>
  <w:numPicBullet w:numPicBulletId="1">
    <w:pict>
      <v:shape id="_x0000_i1081" type="#_x0000_t75" style="width:123.75pt;height:125.25pt;visibility:visible;mso-wrap-style:square" o:bullet="t">
        <v:imagedata r:id="rId2" o:title=""/>
      </v:shape>
    </w:pict>
  </w:numPicBullet>
  <w:abstractNum w:abstractNumId="0" w15:restartNumberingAfterBreak="0">
    <w:nsid w:val="0A8B2C2E"/>
    <w:multiLevelType w:val="hybridMultilevel"/>
    <w:tmpl w:val="4118CB76"/>
    <w:lvl w:ilvl="0" w:tplc="1E7E3330">
      <w:start w:val="1"/>
      <w:numFmt w:val="bullet"/>
      <w:lvlText w:val="-"/>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D3E198C"/>
    <w:multiLevelType w:val="hybridMultilevel"/>
    <w:tmpl w:val="8670F72C"/>
    <w:lvl w:ilvl="0" w:tplc="1E7E3330">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BA97927"/>
    <w:multiLevelType w:val="hybridMultilevel"/>
    <w:tmpl w:val="5AD877A2"/>
    <w:lvl w:ilvl="0" w:tplc="1E7E3330">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BC64C46"/>
    <w:multiLevelType w:val="hybridMultilevel"/>
    <w:tmpl w:val="C23E518C"/>
    <w:lvl w:ilvl="0" w:tplc="DE3AF622">
      <w:start w:val="1"/>
      <w:numFmt w:val="decimal"/>
      <w:lvlText w:val="%1."/>
      <w:lvlJc w:val="left"/>
      <w:pPr>
        <w:ind w:left="720" w:hanging="360"/>
      </w:pPr>
      <w:rPr>
        <w:rFonts w:hint="default"/>
        <w:color w:val="00854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81B05E0"/>
    <w:multiLevelType w:val="hybridMultilevel"/>
    <w:tmpl w:val="662AD5B6"/>
    <w:lvl w:ilvl="0" w:tplc="0415000B">
      <w:start w:val="1"/>
      <w:numFmt w:val="bullet"/>
      <w:lvlText w:val=""/>
      <w:lvlJc w:val="left"/>
      <w:pPr>
        <w:ind w:left="768" w:hanging="360"/>
      </w:pPr>
      <w:rPr>
        <w:rFonts w:ascii="Wingdings" w:hAnsi="Wingdings"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num w:numId="1">
    <w:abstractNumId w:val="4"/>
  </w:num>
  <w:num w:numId="2">
    <w:abstractNumId w:val="1"/>
  </w:num>
  <w:num w:numId="3">
    <w:abstractNumId w:val="2"/>
  </w:num>
  <w:num w:numId="4">
    <w:abstractNumId w:val="7"/>
  </w:num>
  <w:num w:numId="5">
    <w:abstractNumId w:val="6"/>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C5B"/>
    <w:rsid w:val="00003437"/>
    <w:rsid w:val="0000709F"/>
    <w:rsid w:val="000108B8"/>
    <w:rsid w:val="000152F5"/>
    <w:rsid w:val="0004582E"/>
    <w:rsid w:val="000470AA"/>
    <w:rsid w:val="00050B1A"/>
    <w:rsid w:val="00057CA1"/>
    <w:rsid w:val="000662E2"/>
    <w:rsid w:val="00066883"/>
    <w:rsid w:val="00071B39"/>
    <w:rsid w:val="00074DD8"/>
    <w:rsid w:val="00075759"/>
    <w:rsid w:val="000806F7"/>
    <w:rsid w:val="00081572"/>
    <w:rsid w:val="00097840"/>
    <w:rsid w:val="000A3063"/>
    <w:rsid w:val="000B0727"/>
    <w:rsid w:val="000C0D6E"/>
    <w:rsid w:val="000C135D"/>
    <w:rsid w:val="000C5AD4"/>
    <w:rsid w:val="000C62F2"/>
    <w:rsid w:val="000D1D43"/>
    <w:rsid w:val="000D225C"/>
    <w:rsid w:val="000D2A5C"/>
    <w:rsid w:val="000E0918"/>
    <w:rsid w:val="000E79A9"/>
    <w:rsid w:val="001011C3"/>
    <w:rsid w:val="00106DA3"/>
    <w:rsid w:val="00110214"/>
    <w:rsid w:val="00110D87"/>
    <w:rsid w:val="00114DB9"/>
    <w:rsid w:val="00116087"/>
    <w:rsid w:val="00117711"/>
    <w:rsid w:val="00120F92"/>
    <w:rsid w:val="00125160"/>
    <w:rsid w:val="00130296"/>
    <w:rsid w:val="00136736"/>
    <w:rsid w:val="001423B6"/>
    <w:rsid w:val="001448A7"/>
    <w:rsid w:val="00146621"/>
    <w:rsid w:val="0015472E"/>
    <w:rsid w:val="001617E3"/>
    <w:rsid w:val="00162325"/>
    <w:rsid w:val="00171A39"/>
    <w:rsid w:val="00171C2C"/>
    <w:rsid w:val="00190B75"/>
    <w:rsid w:val="001951DA"/>
    <w:rsid w:val="00195D0C"/>
    <w:rsid w:val="0019680A"/>
    <w:rsid w:val="001B281F"/>
    <w:rsid w:val="001C3269"/>
    <w:rsid w:val="001D19B6"/>
    <w:rsid w:val="001D1DB4"/>
    <w:rsid w:val="001D25F9"/>
    <w:rsid w:val="001D61ED"/>
    <w:rsid w:val="001E5B2D"/>
    <w:rsid w:val="001F05CD"/>
    <w:rsid w:val="00222090"/>
    <w:rsid w:val="00234009"/>
    <w:rsid w:val="0025481E"/>
    <w:rsid w:val="002574F9"/>
    <w:rsid w:val="00262B61"/>
    <w:rsid w:val="00263E08"/>
    <w:rsid w:val="00271958"/>
    <w:rsid w:val="00276811"/>
    <w:rsid w:val="00281865"/>
    <w:rsid w:val="00282699"/>
    <w:rsid w:val="00284F11"/>
    <w:rsid w:val="00291427"/>
    <w:rsid w:val="002926DF"/>
    <w:rsid w:val="00296697"/>
    <w:rsid w:val="002B0472"/>
    <w:rsid w:val="002B2DD2"/>
    <w:rsid w:val="002B6B12"/>
    <w:rsid w:val="002E3EB3"/>
    <w:rsid w:val="002E6140"/>
    <w:rsid w:val="002E6985"/>
    <w:rsid w:val="002E71B6"/>
    <w:rsid w:val="002F3C55"/>
    <w:rsid w:val="002F77C8"/>
    <w:rsid w:val="00304F22"/>
    <w:rsid w:val="00306C7C"/>
    <w:rsid w:val="00317F4D"/>
    <w:rsid w:val="00322EDD"/>
    <w:rsid w:val="00322FE5"/>
    <w:rsid w:val="003309FA"/>
    <w:rsid w:val="00332320"/>
    <w:rsid w:val="00347D72"/>
    <w:rsid w:val="00353F45"/>
    <w:rsid w:val="00357611"/>
    <w:rsid w:val="00361B5F"/>
    <w:rsid w:val="00367237"/>
    <w:rsid w:val="0037077F"/>
    <w:rsid w:val="00372411"/>
    <w:rsid w:val="00373882"/>
    <w:rsid w:val="003843DB"/>
    <w:rsid w:val="00393761"/>
    <w:rsid w:val="00394E26"/>
    <w:rsid w:val="00396691"/>
    <w:rsid w:val="00397D18"/>
    <w:rsid w:val="003A1B36"/>
    <w:rsid w:val="003B1454"/>
    <w:rsid w:val="003B18B6"/>
    <w:rsid w:val="003B7259"/>
    <w:rsid w:val="003C161B"/>
    <w:rsid w:val="003C59E0"/>
    <w:rsid w:val="003C6C8D"/>
    <w:rsid w:val="003D2656"/>
    <w:rsid w:val="003D3005"/>
    <w:rsid w:val="003D4F95"/>
    <w:rsid w:val="003D5F42"/>
    <w:rsid w:val="003D60A9"/>
    <w:rsid w:val="003E0334"/>
    <w:rsid w:val="003F4C97"/>
    <w:rsid w:val="003F666D"/>
    <w:rsid w:val="003F7FE6"/>
    <w:rsid w:val="00400193"/>
    <w:rsid w:val="004212E7"/>
    <w:rsid w:val="00423C88"/>
    <w:rsid w:val="0042446D"/>
    <w:rsid w:val="00427BF8"/>
    <w:rsid w:val="00431C02"/>
    <w:rsid w:val="00437395"/>
    <w:rsid w:val="00444D8D"/>
    <w:rsid w:val="00445047"/>
    <w:rsid w:val="00453EB7"/>
    <w:rsid w:val="00456534"/>
    <w:rsid w:val="00463E39"/>
    <w:rsid w:val="004657FC"/>
    <w:rsid w:val="00470C79"/>
    <w:rsid w:val="004733F6"/>
    <w:rsid w:val="00474E69"/>
    <w:rsid w:val="004777B0"/>
    <w:rsid w:val="00486007"/>
    <w:rsid w:val="0049621B"/>
    <w:rsid w:val="004A1D19"/>
    <w:rsid w:val="004C1895"/>
    <w:rsid w:val="004C6D40"/>
    <w:rsid w:val="004E6AA8"/>
    <w:rsid w:val="004F0C3C"/>
    <w:rsid w:val="004F63FC"/>
    <w:rsid w:val="00505A92"/>
    <w:rsid w:val="005203F1"/>
    <w:rsid w:val="00521BC3"/>
    <w:rsid w:val="005245FD"/>
    <w:rsid w:val="00530DEB"/>
    <w:rsid w:val="00533632"/>
    <w:rsid w:val="00540C5C"/>
    <w:rsid w:val="00541E6E"/>
    <w:rsid w:val="0054251F"/>
    <w:rsid w:val="005520D8"/>
    <w:rsid w:val="00555CFB"/>
    <w:rsid w:val="00556CF1"/>
    <w:rsid w:val="00573577"/>
    <w:rsid w:val="005762A7"/>
    <w:rsid w:val="005916D7"/>
    <w:rsid w:val="0059427F"/>
    <w:rsid w:val="005A698C"/>
    <w:rsid w:val="005B3660"/>
    <w:rsid w:val="005D062E"/>
    <w:rsid w:val="005E0799"/>
    <w:rsid w:val="005F45EE"/>
    <w:rsid w:val="005F5A80"/>
    <w:rsid w:val="006044FF"/>
    <w:rsid w:val="00606E9A"/>
    <w:rsid w:val="00607CC5"/>
    <w:rsid w:val="00611BF9"/>
    <w:rsid w:val="006125F9"/>
    <w:rsid w:val="00630ECA"/>
    <w:rsid w:val="00633014"/>
    <w:rsid w:val="0063437B"/>
    <w:rsid w:val="0064017E"/>
    <w:rsid w:val="00654BB6"/>
    <w:rsid w:val="006673CA"/>
    <w:rsid w:val="00673C26"/>
    <w:rsid w:val="00674DE5"/>
    <w:rsid w:val="006812AF"/>
    <w:rsid w:val="0068327D"/>
    <w:rsid w:val="00685224"/>
    <w:rsid w:val="00691534"/>
    <w:rsid w:val="00694AF0"/>
    <w:rsid w:val="006A4686"/>
    <w:rsid w:val="006B0E9E"/>
    <w:rsid w:val="006B2047"/>
    <w:rsid w:val="006B486D"/>
    <w:rsid w:val="006B5AE4"/>
    <w:rsid w:val="006C44B7"/>
    <w:rsid w:val="006D1507"/>
    <w:rsid w:val="006D4054"/>
    <w:rsid w:val="006E02EC"/>
    <w:rsid w:val="006E3C4F"/>
    <w:rsid w:val="006E5D5A"/>
    <w:rsid w:val="006E73E6"/>
    <w:rsid w:val="007211B1"/>
    <w:rsid w:val="007277DA"/>
    <w:rsid w:val="00732DED"/>
    <w:rsid w:val="00746187"/>
    <w:rsid w:val="0076254F"/>
    <w:rsid w:val="007801F5"/>
    <w:rsid w:val="00783CA4"/>
    <w:rsid w:val="007842FB"/>
    <w:rsid w:val="00786124"/>
    <w:rsid w:val="0079514B"/>
    <w:rsid w:val="00795252"/>
    <w:rsid w:val="007A2DC1"/>
    <w:rsid w:val="007A2E03"/>
    <w:rsid w:val="007B482F"/>
    <w:rsid w:val="007B7CB0"/>
    <w:rsid w:val="007D14C4"/>
    <w:rsid w:val="007D3319"/>
    <w:rsid w:val="007D335D"/>
    <w:rsid w:val="007E3314"/>
    <w:rsid w:val="007E3514"/>
    <w:rsid w:val="007E4B03"/>
    <w:rsid w:val="007F324B"/>
    <w:rsid w:val="00801CF2"/>
    <w:rsid w:val="0080553C"/>
    <w:rsid w:val="00805B46"/>
    <w:rsid w:val="00811D7C"/>
    <w:rsid w:val="00825DC2"/>
    <w:rsid w:val="00834AD3"/>
    <w:rsid w:val="00843795"/>
    <w:rsid w:val="00847F0F"/>
    <w:rsid w:val="00852448"/>
    <w:rsid w:val="0087506C"/>
    <w:rsid w:val="00877F6C"/>
    <w:rsid w:val="0088258A"/>
    <w:rsid w:val="00886332"/>
    <w:rsid w:val="008925F0"/>
    <w:rsid w:val="0089448A"/>
    <w:rsid w:val="00897877"/>
    <w:rsid w:val="008A26D9"/>
    <w:rsid w:val="008A7B5B"/>
    <w:rsid w:val="008B12D2"/>
    <w:rsid w:val="008C0C29"/>
    <w:rsid w:val="008D76BC"/>
    <w:rsid w:val="008E068D"/>
    <w:rsid w:val="008E7DBA"/>
    <w:rsid w:val="008F0829"/>
    <w:rsid w:val="008F3638"/>
    <w:rsid w:val="008F3E5E"/>
    <w:rsid w:val="008F4441"/>
    <w:rsid w:val="008F6B20"/>
    <w:rsid w:val="008F6F31"/>
    <w:rsid w:val="008F74DF"/>
    <w:rsid w:val="00902274"/>
    <w:rsid w:val="009127BA"/>
    <w:rsid w:val="00915147"/>
    <w:rsid w:val="00920AAE"/>
    <w:rsid w:val="009227A6"/>
    <w:rsid w:val="00933EC1"/>
    <w:rsid w:val="009530DB"/>
    <w:rsid w:val="00953676"/>
    <w:rsid w:val="00956F30"/>
    <w:rsid w:val="009705EE"/>
    <w:rsid w:val="00977927"/>
    <w:rsid w:val="0098135C"/>
    <w:rsid w:val="0098156A"/>
    <w:rsid w:val="00981FE6"/>
    <w:rsid w:val="00982719"/>
    <w:rsid w:val="00991BAC"/>
    <w:rsid w:val="00994333"/>
    <w:rsid w:val="009A6EA0"/>
    <w:rsid w:val="009B58EF"/>
    <w:rsid w:val="009C1335"/>
    <w:rsid w:val="009C1AB2"/>
    <w:rsid w:val="009C4523"/>
    <w:rsid w:val="009C7251"/>
    <w:rsid w:val="009E2E91"/>
    <w:rsid w:val="00A0600E"/>
    <w:rsid w:val="00A139F5"/>
    <w:rsid w:val="00A20D6B"/>
    <w:rsid w:val="00A32E16"/>
    <w:rsid w:val="00A365F4"/>
    <w:rsid w:val="00A441EC"/>
    <w:rsid w:val="00A47D80"/>
    <w:rsid w:val="00A53132"/>
    <w:rsid w:val="00A563F2"/>
    <w:rsid w:val="00A566E8"/>
    <w:rsid w:val="00A810F9"/>
    <w:rsid w:val="00A82D31"/>
    <w:rsid w:val="00A85E7E"/>
    <w:rsid w:val="00A86ECC"/>
    <w:rsid w:val="00A86FCC"/>
    <w:rsid w:val="00A971E5"/>
    <w:rsid w:val="00AA710D"/>
    <w:rsid w:val="00AB64F3"/>
    <w:rsid w:val="00AB6D25"/>
    <w:rsid w:val="00AE229B"/>
    <w:rsid w:val="00AE2D4B"/>
    <w:rsid w:val="00AE4F99"/>
    <w:rsid w:val="00B11B69"/>
    <w:rsid w:val="00B14952"/>
    <w:rsid w:val="00B152C9"/>
    <w:rsid w:val="00B31E5A"/>
    <w:rsid w:val="00B36521"/>
    <w:rsid w:val="00B47359"/>
    <w:rsid w:val="00B653AB"/>
    <w:rsid w:val="00B65F9E"/>
    <w:rsid w:val="00B66B19"/>
    <w:rsid w:val="00B77414"/>
    <w:rsid w:val="00B84543"/>
    <w:rsid w:val="00B914E9"/>
    <w:rsid w:val="00B956EE"/>
    <w:rsid w:val="00B968A4"/>
    <w:rsid w:val="00BA2BA1"/>
    <w:rsid w:val="00BA3447"/>
    <w:rsid w:val="00BA3562"/>
    <w:rsid w:val="00BB4F09"/>
    <w:rsid w:val="00BD4E33"/>
    <w:rsid w:val="00C030DE"/>
    <w:rsid w:val="00C051A8"/>
    <w:rsid w:val="00C22105"/>
    <w:rsid w:val="00C244B6"/>
    <w:rsid w:val="00C27BF1"/>
    <w:rsid w:val="00C3702F"/>
    <w:rsid w:val="00C3787B"/>
    <w:rsid w:val="00C4500A"/>
    <w:rsid w:val="00C4770A"/>
    <w:rsid w:val="00C500AE"/>
    <w:rsid w:val="00C54AFE"/>
    <w:rsid w:val="00C64A37"/>
    <w:rsid w:val="00C7158E"/>
    <w:rsid w:val="00C7250B"/>
    <w:rsid w:val="00C7346B"/>
    <w:rsid w:val="00C77C0E"/>
    <w:rsid w:val="00C91687"/>
    <w:rsid w:val="00C924A8"/>
    <w:rsid w:val="00C945FE"/>
    <w:rsid w:val="00C96FAA"/>
    <w:rsid w:val="00C97A04"/>
    <w:rsid w:val="00CA107B"/>
    <w:rsid w:val="00CA2C5E"/>
    <w:rsid w:val="00CA484D"/>
    <w:rsid w:val="00CA4FB6"/>
    <w:rsid w:val="00CB24C5"/>
    <w:rsid w:val="00CB2F90"/>
    <w:rsid w:val="00CC1717"/>
    <w:rsid w:val="00CC739E"/>
    <w:rsid w:val="00CD10E2"/>
    <w:rsid w:val="00CD28CF"/>
    <w:rsid w:val="00CD58B7"/>
    <w:rsid w:val="00CF4099"/>
    <w:rsid w:val="00D00796"/>
    <w:rsid w:val="00D032C7"/>
    <w:rsid w:val="00D154BE"/>
    <w:rsid w:val="00D2452A"/>
    <w:rsid w:val="00D261A2"/>
    <w:rsid w:val="00D36CD8"/>
    <w:rsid w:val="00D444CD"/>
    <w:rsid w:val="00D616D2"/>
    <w:rsid w:val="00D63B5F"/>
    <w:rsid w:val="00D70EF7"/>
    <w:rsid w:val="00D8397C"/>
    <w:rsid w:val="00D94EED"/>
    <w:rsid w:val="00D95A5F"/>
    <w:rsid w:val="00D96026"/>
    <w:rsid w:val="00DA7C1C"/>
    <w:rsid w:val="00DB147A"/>
    <w:rsid w:val="00DB1B7A"/>
    <w:rsid w:val="00DB706E"/>
    <w:rsid w:val="00DC07E4"/>
    <w:rsid w:val="00DC50B1"/>
    <w:rsid w:val="00DC6708"/>
    <w:rsid w:val="00DD011A"/>
    <w:rsid w:val="00DD3822"/>
    <w:rsid w:val="00DF5E32"/>
    <w:rsid w:val="00E01436"/>
    <w:rsid w:val="00E045BD"/>
    <w:rsid w:val="00E17B77"/>
    <w:rsid w:val="00E23337"/>
    <w:rsid w:val="00E259EA"/>
    <w:rsid w:val="00E25D33"/>
    <w:rsid w:val="00E32061"/>
    <w:rsid w:val="00E33F48"/>
    <w:rsid w:val="00E42FF9"/>
    <w:rsid w:val="00E44790"/>
    <w:rsid w:val="00E45ADA"/>
    <w:rsid w:val="00E4714C"/>
    <w:rsid w:val="00E51AEB"/>
    <w:rsid w:val="00E522A7"/>
    <w:rsid w:val="00E54452"/>
    <w:rsid w:val="00E63B0C"/>
    <w:rsid w:val="00E664C5"/>
    <w:rsid w:val="00E671A2"/>
    <w:rsid w:val="00E71BEA"/>
    <w:rsid w:val="00E76D26"/>
    <w:rsid w:val="00E76EE5"/>
    <w:rsid w:val="00EA0CB0"/>
    <w:rsid w:val="00EB1390"/>
    <w:rsid w:val="00EB2C71"/>
    <w:rsid w:val="00EB3333"/>
    <w:rsid w:val="00EB4340"/>
    <w:rsid w:val="00EB556D"/>
    <w:rsid w:val="00EB5A7D"/>
    <w:rsid w:val="00ED55C0"/>
    <w:rsid w:val="00ED682B"/>
    <w:rsid w:val="00ED787D"/>
    <w:rsid w:val="00EE41D5"/>
    <w:rsid w:val="00EF6029"/>
    <w:rsid w:val="00F0166F"/>
    <w:rsid w:val="00F037A4"/>
    <w:rsid w:val="00F27C8F"/>
    <w:rsid w:val="00F32749"/>
    <w:rsid w:val="00F37172"/>
    <w:rsid w:val="00F4477E"/>
    <w:rsid w:val="00F46269"/>
    <w:rsid w:val="00F60BA8"/>
    <w:rsid w:val="00F64F1A"/>
    <w:rsid w:val="00F67D8F"/>
    <w:rsid w:val="00F802BE"/>
    <w:rsid w:val="00F80E93"/>
    <w:rsid w:val="00F86024"/>
    <w:rsid w:val="00F8611A"/>
    <w:rsid w:val="00FA5128"/>
    <w:rsid w:val="00FB1500"/>
    <w:rsid w:val="00FB1C44"/>
    <w:rsid w:val="00FB42D4"/>
    <w:rsid w:val="00FB5906"/>
    <w:rsid w:val="00FB762F"/>
    <w:rsid w:val="00FC2AED"/>
    <w:rsid w:val="00FD5EA7"/>
    <w:rsid w:val="00FE5D8B"/>
    <w:rsid w:val="00FF02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37907A"/>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4.xm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obslugaprasowa@stat.gov.pl" TargetMode="External"/><Relationship Id="rId7" Type="http://schemas.openxmlformats.org/officeDocument/2006/relationships/webSettings" Target="webSettings.xml"/><Relationship Id="rId12" Type="http://schemas.openxmlformats.org/officeDocument/2006/relationships/chart" Target="charts/chart3.xml"/><Relationship Id="rId17" Type="http://schemas.openxmlformats.org/officeDocument/2006/relationships/header" Target="header1.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hart" Target="charts/chart7.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24" Type="http://schemas.openxmlformats.org/officeDocument/2006/relationships/image" Target="media/image6.png"/><Relationship Id="rId5" Type="http://schemas.openxmlformats.org/officeDocument/2006/relationships/styles" Target="styles.xml"/><Relationship Id="rId15" Type="http://schemas.openxmlformats.org/officeDocument/2006/relationships/chart" Target="charts/chart6.xml"/><Relationship Id="rId23" Type="http://schemas.openxmlformats.org/officeDocument/2006/relationships/image" Target="media/image5.png"/><Relationship Id="rId28"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hart" Target="charts/chart5.xml"/><Relationship Id="rId22" Type="http://schemas.openxmlformats.org/officeDocument/2006/relationships/image" Target="media/image4.pn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9382133295071109E-2"/>
          <c:y val="0.15245734559481869"/>
          <c:w val="0.87223577342902792"/>
          <c:h val="0.64087400924595417"/>
        </c:manualLayout>
      </c:layout>
      <c:barChart>
        <c:barDir val="col"/>
        <c:grouping val="clustered"/>
        <c:varyColors val="0"/>
        <c:ser>
          <c:idx val="0"/>
          <c:order val="0"/>
          <c:spPr>
            <a:solidFill>
              <a:srgbClr val="008542"/>
            </a:solidFill>
            <a:ln>
              <a:solidFill>
                <a:srgbClr val="6677AD"/>
              </a:solidFill>
            </a:ln>
            <a:effectLst/>
          </c:spPr>
          <c:invertIfNegative val="0"/>
          <c:trendline>
            <c:spPr>
              <a:ln w="25400" cap="rnd">
                <a:solidFill>
                  <a:srgbClr val="008542"/>
                </a:solidFill>
                <a:prstDash val="sysDash"/>
              </a:ln>
              <a:effectLst/>
            </c:spPr>
            <c:trendlineType val="linear"/>
            <c:dispRSqr val="0"/>
            <c:dispEq val="0"/>
          </c:trendline>
          <c:cat>
            <c:strRef>
              <c:f>'Tabl.1 Liczba gospodarstw'!$A$6:$A$9</c:f>
              <c:strCache>
                <c:ptCount val="4"/>
                <c:pt idx="0">
                  <c:v>2010 </c:v>
                </c:pt>
                <c:pt idx="1">
                  <c:v>2013 </c:v>
                </c:pt>
                <c:pt idx="2">
                  <c:v>2016 </c:v>
                </c:pt>
                <c:pt idx="3">
                  <c:v>2020 </c:v>
                </c:pt>
              </c:strCache>
            </c:strRef>
          </c:cat>
          <c:val>
            <c:numRef>
              <c:f>'Tabl.1 Liczba gospodarstw'!$B$6:$B$9</c:f>
              <c:numCache>
                <c:formatCode>0</c:formatCode>
                <c:ptCount val="4"/>
                <c:pt idx="0">
                  <c:v>1509.1</c:v>
                </c:pt>
                <c:pt idx="1">
                  <c:v>1429</c:v>
                </c:pt>
                <c:pt idx="2">
                  <c:v>1410.7</c:v>
                </c:pt>
                <c:pt idx="3">
                  <c:v>1316.9</c:v>
                </c:pt>
              </c:numCache>
            </c:numRef>
          </c:val>
          <c:extLst>
            <c:ext xmlns:c16="http://schemas.microsoft.com/office/drawing/2014/chart" uri="{C3380CC4-5D6E-409C-BE32-E72D297353CC}">
              <c16:uniqueId val="{00000001-1DD9-4E3F-BCDB-9A8B0B50E91D}"/>
            </c:ext>
          </c:extLst>
        </c:ser>
        <c:dLbls>
          <c:showLegendKey val="0"/>
          <c:showVal val="0"/>
          <c:showCatName val="0"/>
          <c:showSerName val="0"/>
          <c:showPercent val="0"/>
          <c:showBubbleSize val="0"/>
        </c:dLbls>
        <c:gapWidth val="219"/>
        <c:overlap val="-27"/>
        <c:axId val="-420980560"/>
        <c:axId val="-420981648"/>
      </c:barChart>
      <c:catAx>
        <c:axId val="-420980560"/>
        <c:scaling>
          <c:orientation val="minMax"/>
        </c:scaling>
        <c:delete val="0"/>
        <c:axPos val="b"/>
        <c:numFmt formatCode="General" sourceLinked="1"/>
        <c:majorTickMark val="none"/>
        <c:minorTickMark val="none"/>
        <c:tickLblPos val="nextTo"/>
        <c:spPr>
          <a:noFill/>
          <a:ln w="9525" cap="flat" cmpd="sng" algn="ctr">
            <a:solidFill>
              <a:schemeClr val="bg2">
                <a:lumMod val="90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420981648"/>
        <c:crosses val="autoZero"/>
        <c:auto val="1"/>
        <c:lblAlgn val="ctr"/>
        <c:lblOffset val="100"/>
        <c:noMultiLvlLbl val="0"/>
      </c:catAx>
      <c:valAx>
        <c:axId val="-420981648"/>
        <c:scaling>
          <c:orientation val="minMax"/>
          <c:min val="1200"/>
        </c:scaling>
        <c:delete val="0"/>
        <c:axPos val="l"/>
        <c:majorGridlines>
          <c:spPr>
            <a:ln w="9525" cap="flat" cmpd="sng" algn="ctr">
              <a:solidFill>
                <a:schemeClr val="bg2">
                  <a:lumMod val="90000"/>
                </a:schemeClr>
              </a:solidFill>
              <a:round/>
            </a:ln>
            <a:effectLst/>
          </c:spPr>
        </c:majorGridlines>
        <c:numFmt formatCode="#,##0" sourceLinked="0"/>
        <c:majorTickMark val="none"/>
        <c:minorTickMark val="none"/>
        <c:tickLblPos val="nextTo"/>
        <c:spPr>
          <a:noFill/>
          <a:ln>
            <a:solidFill>
              <a:schemeClr val="bg2">
                <a:lumMod val="90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42098056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2899783610233202E-2"/>
          <c:y val="0.10719253013727266"/>
          <c:w val="0.86836887213431113"/>
          <c:h val="0.62497871002397576"/>
        </c:manualLayout>
      </c:layout>
      <c:scatterChart>
        <c:scatterStyle val="lineMarker"/>
        <c:varyColors val="0"/>
        <c:ser>
          <c:idx val="0"/>
          <c:order val="0"/>
          <c:spPr>
            <a:ln w="31750" cap="rnd">
              <a:solidFill>
                <a:srgbClr val="008542"/>
              </a:solidFill>
              <a:round/>
            </a:ln>
            <a:effectLst/>
          </c:spPr>
          <c:marker>
            <c:symbol val="circle"/>
            <c:size val="5"/>
            <c:spPr>
              <a:noFill/>
              <a:ln w="9525">
                <a:noFill/>
              </a:ln>
              <a:effectLst/>
            </c:spPr>
          </c:marker>
          <c:dLbls>
            <c:dLbl>
              <c:idx val="0"/>
              <c:layout>
                <c:manualLayout>
                  <c:x val="-1.8656348511991556E-2"/>
                  <c:y val="-6.333532905161062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2C1-4650-B7C7-72D0A95EC303}"/>
                </c:ext>
              </c:extLst>
            </c:dLbl>
            <c:dLbl>
              <c:idx val="1"/>
              <c:layout>
                <c:manualLayout>
                  <c:x val="-4.1809235442915899E-2"/>
                  <c:y val="-7.87610619469027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2C1-4650-B7C7-72D0A95EC303}"/>
                </c:ext>
              </c:extLst>
            </c:dLbl>
            <c:dLbl>
              <c:idx val="2"/>
              <c:layout>
                <c:manualLayout>
                  <c:x val="-5.3585098239346769E-2"/>
                  <c:y val="-9.292035398230093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2C1-4650-B7C7-72D0A95EC303}"/>
                </c:ext>
              </c:extLst>
            </c:dLbl>
            <c:dLbl>
              <c:idx val="3"/>
              <c:layout>
                <c:manualLayout>
                  <c:x val="-6.6873680213295608E-2"/>
                  <c:y val="-5.22123893805309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2C1-4650-B7C7-72D0A95EC303}"/>
                </c:ext>
              </c:extLst>
            </c:dLbl>
            <c:spPr>
              <a:solidFill>
                <a:schemeClr val="lt1"/>
              </a:solidFill>
              <a:ln>
                <a:noFill/>
              </a:ln>
              <a:effectLst/>
            </c:spPr>
            <c:txPr>
              <a:bodyPr rot="0" spcFirstLastPara="1" vertOverflow="clip" horzOverflow="clip" vert="horz" wrap="square" lIns="38100" tIns="19050" rIns="38100" bIns="19050" anchor="ctr" anchorCtr="1">
                <a:noAutofit/>
              </a:bodyPr>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xVal>
            <c:numRef>
              <c:f>'Tabl.1 Liczba gospodarstw'!$W$16:$W$19</c:f>
              <c:numCache>
                <c:formatCode>General</c:formatCode>
                <c:ptCount val="4"/>
                <c:pt idx="0">
                  <c:v>2010</c:v>
                </c:pt>
                <c:pt idx="1">
                  <c:v>2013</c:v>
                </c:pt>
                <c:pt idx="2">
                  <c:v>2016</c:v>
                </c:pt>
                <c:pt idx="3">
                  <c:v>2020</c:v>
                </c:pt>
              </c:numCache>
            </c:numRef>
          </c:xVal>
          <c:yVal>
            <c:numRef>
              <c:f>'Tabl.1 Liczba gospodarstw'!$X$16:$X$19</c:f>
              <c:numCache>
                <c:formatCode>General</c:formatCode>
                <c:ptCount val="4"/>
                <c:pt idx="0">
                  <c:v>9.8000000000000007</c:v>
                </c:pt>
                <c:pt idx="1">
                  <c:v>10.199999999999999</c:v>
                </c:pt>
                <c:pt idx="2">
                  <c:v>10.3</c:v>
                </c:pt>
                <c:pt idx="3">
                  <c:v>11.1</c:v>
                </c:pt>
              </c:numCache>
            </c:numRef>
          </c:yVal>
          <c:smooth val="0"/>
          <c:extLst>
            <c:ext xmlns:c16="http://schemas.microsoft.com/office/drawing/2014/chart" uri="{C3380CC4-5D6E-409C-BE32-E72D297353CC}">
              <c16:uniqueId val="{00000001-5161-40EB-8792-FB9A2969E6BE}"/>
            </c:ext>
          </c:extLst>
        </c:ser>
        <c:dLbls>
          <c:showLegendKey val="0"/>
          <c:showVal val="0"/>
          <c:showCatName val="0"/>
          <c:showSerName val="0"/>
          <c:showPercent val="0"/>
          <c:showBubbleSize val="0"/>
        </c:dLbls>
        <c:axId val="-420980016"/>
        <c:axId val="-420978928"/>
      </c:scatterChart>
      <c:valAx>
        <c:axId val="-420980016"/>
        <c:scaling>
          <c:orientation val="minMax"/>
          <c:max val="2020"/>
          <c:min val="2010"/>
        </c:scaling>
        <c:delete val="0"/>
        <c:axPos val="b"/>
        <c:numFmt formatCode="General" sourceLinked="1"/>
        <c:majorTickMark val="none"/>
        <c:minorTickMark val="none"/>
        <c:tickLblPos val="nextTo"/>
        <c:spPr>
          <a:solidFill>
            <a:schemeClr val="bg1"/>
          </a:solid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420978928"/>
        <c:crossesAt val="9.6000000000000014"/>
        <c:crossBetween val="midCat"/>
      </c:valAx>
      <c:valAx>
        <c:axId val="-420978928"/>
        <c:scaling>
          <c:orientation val="minMax"/>
        </c:scaling>
        <c:delete val="1"/>
        <c:axPos val="l"/>
        <c:numFmt formatCode="#,##0.00" sourceLinked="0"/>
        <c:majorTickMark val="none"/>
        <c:minorTickMark val="none"/>
        <c:tickLblPos val="nextTo"/>
        <c:crossAx val="-420980016"/>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4">
    <c:autoUpdate val="0"/>
  </c:externalData>
  <c:userShapes r:id="rId5"/>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437674457359502E-2"/>
          <c:y val="0.13058260093007046"/>
          <c:w val="0.90596541938441466"/>
          <c:h val="0.65335221308250579"/>
        </c:manualLayout>
      </c:layout>
      <c:barChart>
        <c:barDir val="col"/>
        <c:grouping val="stacked"/>
        <c:varyColors val="0"/>
        <c:ser>
          <c:idx val="0"/>
          <c:order val="0"/>
          <c:tx>
            <c:strRef>
              <c:f>'Tabl. 3 Użytkowanie gruntów '!$M$8</c:f>
              <c:strCache>
                <c:ptCount val="1"/>
                <c:pt idx="0">
                  <c:v>zasiewy</c:v>
                </c:pt>
              </c:strCache>
            </c:strRef>
          </c:tx>
          <c:spPr>
            <a:solidFill>
              <a:srgbClr val="00854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Fira Sans" panose="020B0503050000020004" pitchFamily="34" charset="0"/>
                    <a:ea typeface="Fira Sans" panose="020B0503050000020004" pitchFamily="34" charset="0"/>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'Tabl. 3 Użytkowanie gruntów '!$L$9:$L$12</c:f>
              <c:numCache>
                <c:formatCode>General</c:formatCode>
                <c:ptCount val="4"/>
                <c:pt idx="0">
                  <c:v>2010</c:v>
                </c:pt>
                <c:pt idx="1">
                  <c:v>2013</c:v>
                </c:pt>
                <c:pt idx="2">
                  <c:v>2016</c:v>
                </c:pt>
                <c:pt idx="3">
                  <c:v>2020</c:v>
                </c:pt>
              </c:numCache>
            </c:numRef>
          </c:cat>
          <c:val>
            <c:numRef>
              <c:f>'Tabl. 3 Użytkowanie gruntów '!$M$9:$M$12</c:f>
              <c:numCache>
                <c:formatCode>#,##0</c:formatCode>
                <c:ptCount val="4"/>
                <c:pt idx="0">
                  <c:v>10366</c:v>
                </c:pt>
                <c:pt idx="1">
                  <c:v>10313</c:v>
                </c:pt>
                <c:pt idx="2">
                  <c:v>10640</c:v>
                </c:pt>
                <c:pt idx="3">
                  <c:v>10707</c:v>
                </c:pt>
              </c:numCache>
            </c:numRef>
          </c:val>
          <c:extLst>
            <c:ext xmlns:c16="http://schemas.microsoft.com/office/drawing/2014/chart" uri="{C3380CC4-5D6E-409C-BE32-E72D297353CC}">
              <c16:uniqueId val="{00000000-28F3-4728-AF66-4E2CE32368A0}"/>
            </c:ext>
          </c:extLst>
        </c:ser>
        <c:ser>
          <c:idx val="1"/>
          <c:order val="1"/>
          <c:tx>
            <c:strRef>
              <c:f>'Tabl. 3 Użytkowanie gruntów '!$N$8</c:f>
              <c:strCache>
                <c:ptCount val="1"/>
                <c:pt idx="0">
                  <c:v>sady</c:v>
                </c:pt>
              </c:strCache>
            </c:strRef>
          </c:tx>
          <c:spPr>
            <a:solidFill>
              <a:schemeClr val="bg1">
                <a:lumMod val="65000"/>
              </a:schemeClr>
            </a:solidFill>
            <a:ln>
              <a:noFill/>
            </a:ln>
            <a:effectLst/>
          </c:spPr>
          <c:invertIfNegative val="0"/>
          <c:dLbls>
            <c:dLbl>
              <c:idx val="0"/>
              <c:layout>
                <c:manualLayout>
                  <c:x val="9.7671992389840159E-2"/>
                  <c:y val="-2.486495464000616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8F3-4728-AF66-4E2CE32368A0}"/>
                </c:ext>
              </c:extLst>
            </c:dLbl>
            <c:dLbl>
              <c:idx val="1"/>
              <c:layout>
                <c:manualLayout>
                  <c:x val="9.3084718576844555E-2"/>
                  <c:y val="-2.420470262793920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8F3-4728-AF66-4E2CE32368A0}"/>
                </c:ext>
              </c:extLst>
            </c:dLbl>
            <c:dLbl>
              <c:idx val="2"/>
              <c:layout>
                <c:manualLayout>
                  <c:x val="8.6738116068824644E-2"/>
                  <c:y val="-2.074688796680497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8F3-4728-AF66-4E2CE32368A0}"/>
                </c:ext>
              </c:extLst>
            </c:dLbl>
            <c:dLbl>
              <c:idx val="3"/>
              <c:layout>
                <c:manualLayout>
                  <c:x val="9.3084718576844555E-2"/>
                  <c:y val="-2.074688796680504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8F3-4728-AF66-4E2CE32368A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'Tabl. 3 Użytkowanie gruntów '!$L$9:$L$12</c:f>
              <c:numCache>
                <c:formatCode>General</c:formatCode>
                <c:ptCount val="4"/>
                <c:pt idx="0">
                  <c:v>2010</c:v>
                </c:pt>
                <c:pt idx="1">
                  <c:v>2013</c:v>
                </c:pt>
                <c:pt idx="2">
                  <c:v>2016</c:v>
                </c:pt>
                <c:pt idx="3">
                  <c:v>2020</c:v>
                </c:pt>
              </c:numCache>
            </c:numRef>
          </c:cat>
          <c:val>
            <c:numRef>
              <c:f>'Tabl. 3 Użytkowanie gruntów '!$N$9:$N$12</c:f>
              <c:numCache>
                <c:formatCode>#,##0</c:formatCode>
                <c:ptCount val="4"/>
                <c:pt idx="0">
                  <c:v>351</c:v>
                </c:pt>
                <c:pt idx="1">
                  <c:v>267</c:v>
                </c:pt>
                <c:pt idx="2">
                  <c:v>252</c:v>
                </c:pt>
                <c:pt idx="3">
                  <c:v>301</c:v>
                </c:pt>
              </c:numCache>
            </c:numRef>
          </c:val>
          <c:extLst>
            <c:ext xmlns:c16="http://schemas.microsoft.com/office/drawing/2014/chart" uri="{C3380CC4-5D6E-409C-BE32-E72D297353CC}">
              <c16:uniqueId val="{00000005-28F3-4728-AF66-4E2CE32368A0}"/>
            </c:ext>
          </c:extLst>
        </c:ser>
        <c:ser>
          <c:idx val="2"/>
          <c:order val="2"/>
          <c:tx>
            <c:strRef>
              <c:f>'Tabl. 3 Użytkowanie gruntów '!$O$8</c:f>
              <c:strCache>
                <c:ptCount val="1"/>
                <c:pt idx="0">
                  <c:v>trwałe użytki zielone</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'Tabl. 3 Użytkowanie gruntów '!$L$9:$L$12</c:f>
              <c:numCache>
                <c:formatCode>General</c:formatCode>
                <c:ptCount val="4"/>
                <c:pt idx="0">
                  <c:v>2010</c:v>
                </c:pt>
                <c:pt idx="1">
                  <c:v>2013</c:v>
                </c:pt>
                <c:pt idx="2">
                  <c:v>2016</c:v>
                </c:pt>
                <c:pt idx="3">
                  <c:v>2020</c:v>
                </c:pt>
              </c:numCache>
            </c:numRef>
          </c:cat>
          <c:val>
            <c:numRef>
              <c:f>'Tabl. 3 Użytkowanie gruntów '!$O$9:$O$12</c:f>
              <c:numCache>
                <c:formatCode>#,##0</c:formatCode>
                <c:ptCount val="4"/>
                <c:pt idx="0">
                  <c:v>3230</c:v>
                </c:pt>
                <c:pt idx="1">
                  <c:v>3206</c:v>
                </c:pt>
                <c:pt idx="2">
                  <c:v>3176</c:v>
                </c:pt>
                <c:pt idx="3">
                  <c:v>3185</c:v>
                </c:pt>
              </c:numCache>
            </c:numRef>
          </c:val>
          <c:extLst>
            <c:ext xmlns:c16="http://schemas.microsoft.com/office/drawing/2014/chart" uri="{C3380CC4-5D6E-409C-BE32-E72D297353CC}">
              <c16:uniqueId val="{00000006-28F3-4728-AF66-4E2CE32368A0}"/>
            </c:ext>
          </c:extLst>
        </c:ser>
        <c:dLbls>
          <c:dLblPos val="ctr"/>
          <c:showLegendKey val="0"/>
          <c:showVal val="1"/>
          <c:showCatName val="0"/>
          <c:showSerName val="0"/>
          <c:showPercent val="0"/>
          <c:showBubbleSize val="0"/>
        </c:dLbls>
        <c:gapWidth val="150"/>
        <c:overlap val="100"/>
        <c:axId val="-420979472"/>
        <c:axId val="-475231920"/>
      </c:barChart>
      <c:catAx>
        <c:axId val="-420979472"/>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475231920"/>
        <c:crosses val="autoZero"/>
        <c:auto val="1"/>
        <c:lblAlgn val="ctr"/>
        <c:lblOffset val="100"/>
        <c:noMultiLvlLbl val="0"/>
      </c:catAx>
      <c:valAx>
        <c:axId val="-475231920"/>
        <c:scaling>
          <c:orientation val="minMax"/>
          <c:max val="15000"/>
        </c:scaling>
        <c:delete val="1"/>
        <c:axPos val="l"/>
        <c:numFmt formatCode="0" sourceLinked="0"/>
        <c:majorTickMark val="none"/>
        <c:minorTickMark val="none"/>
        <c:tickLblPos val="nextTo"/>
        <c:crossAx val="-420979472"/>
        <c:crosses val="autoZero"/>
        <c:crossBetween val="between"/>
        <c:majorUnit val="25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latin typeface="Fira Sans" panose="020B0503050000020004" pitchFamily="34" charset="0"/>
          <a:ea typeface="Fira Sans" panose="020B0503050000020004" pitchFamily="34" charset="0"/>
        </a:defRPr>
      </a:pPr>
      <a:endParaRPr lang="pl-PL"/>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0213864598583451E-2"/>
          <c:y val="0.10155968503937007"/>
          <c:w val="0.85535769398171957"/>
          <c:h val="0.65044185482719341"/>
        </c:manualLayout>
      </c:layout>
      <c:barChart>
        <c:barDir val="bar"/>
        <c:grouping val="stacked"/>
        <c:varyColors val="0"/>
        <c:ser>
          <c:idx val="1"/>
          <c:order val="1"/>
          <c:tx>
            <c:strRef>
              <c:f>'Tabl. 4 Powierzchnia zasiewów'!$O$4</c:f>
              <c:strCache>
                <c:ptCount val="1"/>
                <c:pt idx="0">
                  <c:v>zboża ogółem</c:v>
                </c:pt>
              </c:strCache>
            </c:strRef>
          </c:tx>
          <c:spPr>
            <a:solidFill>
              <a:srgbClr val="008542"/>
            </a:solidFill>
            <a:ln>
              <a:noFill/>
            </a:ln>
            <a:effectLst/>
          </c:spPr>
          <c:invertIfNegative val="0"/>
          <c:dPt>
            <c:idx val="0"/>
            <c:invertIfNegative val="0"/>
            <c:bubble3D val="0"/>
            <c:spPr>
              <a:solidFill>
                <a:srgbClr val="008542"/>
              </a:solidFill>
              <a:ln>
                <a:noFill/>
              </a:ln>
              <a:effectLst/>
            </c:spPr>
            <c:extLst>
              <c:ext xmlns:c16="http://schemas.microsoft.com/office/drawing/2014/chart" uri="{C3380CC4-5D6E-409C-BE32-E72D297353CC}">
                <c16:uniqueId val="{00000001-8F5E-4F0F-866E-A8A6DED529DC}"/>
              </c:ext>
            </c:extLst>
          </c:dPt>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Fira Sans" panose="020B0503050000020004" pitchFamily="34" charset="0"/>
                    <a:ea typeface="Fira Sans" panose="020B0503050000020004" pitchFamily="34" charset="0"/>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'Tabl. 4 Powierzchnia zasiewów'!$M$5:$M$8</c:f>
              <c:numCache>
                <c:formatCode>General</c:formatCode>
                <c:ptCount val="4"/>
                <c:pt idx="0">
                  <c:v>2010</c:v>
                </c:pt>
                <c:pt idx="1">
                  <c:v>2013</c:v>
                </c:pt>
                <c:pt idx="2">
                  <c:v>2016</c:v>
                </c:pt>
                <c:pt idx="3">
                  <c:v>2020</c:v>
                </c:pt>
              </c:numCache>
            </c:numRef>
          </c:cat>
          <c:val>
            <c:numRef>
              <c:f>'Tabl. 4 Powierzchnia zasiewów'!$O$5:$O$8</c:f>
              <c:numCache>
                <c:formatCode>#,##0</c:formatCode>
                <c:ptCount val="4"/>
                <c:pt idx="0">
                  <c:v>7606</c:v>
                </c:pt>
                <c:pt idx="1">
                  <c:v>7479</c:v>
                </c:pt>
                <c:pt idx="2">
                  <c:v>7400</c:v>
                </c:pt>
                <c:pt idx="3">
                  <c:v>7377</c:v>
                </c:pt>
              </c:numCache>
            </c:numRef>
          </c:val>
          <c:extLst>
            <c:ext xmlns:c16="http://schemas.microsoft.com/office/drawing/2014/chart" uri="{C3380CC4-5D6E-409C-BE32-E72D297353CC}">
              <c16:uniqueId val="{00000000-A8E0-4EA3-A1A1-0BE6CCB12C51}"/>
            </c:ext>
          </c:extLst>
        </c:ser>
        <c:ser>
          <c:idx val="2"/>
          <c:order val="2"/>
          <c:tx>
            <c:strRef>
              <c:f>'Tabl. 4 Powierzchnia zasiewów'!$P$4</c:f>
              <c:strCache>
                <c:ptCount val="1"/>
                <c:pt idx="0">
                  <c:v>ziemniaki</c:v>
                </c:pt>
              </c:strCache>
            </c:strRef>
          </c:tx>
          <c:spPr>
            <a:solidFill>
              <a:srgbClr val="70AD47"/>
            </a:solidFill>
            <a:ln>
              <a:noFill/>
            </a:ln>
            <a:effectLst/>
          </c:spPr>
          <c:invertIfNegative val="0"/>
          <c:dLbls>
            <c:dLbl>
              <c:idx val="0"/>
              <c:layout>
                <c:manualLayout>
                  <c:x val="-1.9629737586047181E-2"/>
                  <c:y val="9.265658255454442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8E0-4EA3-A1A1-0BE6CCB12C51}"/>
                </c:ext>
              </c:extLst>
            </c:dLbl>
            <c:dLbl>
              <c:idx val="1"/>
              <c:layout>
                <c:manualLayout>
                  <c:x val="-1.7748478701825558E-2"/>
                  <c:y val="9.201124609145769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8E0-4EA3-A1A1-0BE6CCB12C51}"/>
                </c:ext>
              </c:extLst>
            </c:dLbl>
            <c:dLbl>
              <c:idx val="2"/>
              <c:layout>
                <c:manualLayout>
                  <c:x val="-2.2819372793918002E-2"/>
                  <c:y val="9.2011246091457624E-2"/>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4.543610547667342E-2"/>
                      <c:h val="5.6062291434927698E-2"/>
                    </c:manualLayout>
                  </c15:layout>
                </c:ext>
                <c:ext xmlns:c16="http://schemas.microsoft.com/office/drawing/2014/chart" uri="{C3380CC4-5D6E-409C-BE32-E72D297353CC}">
                  <c16:uniqueId val="{00000003-A8E0-4EA3-A1A1-0BE6CCB12C51}"/>
                </c:ext>
              </c:extLst>
            </c:dLbl>
            <c:dLbl>
              <c:idx val="3"/>
              <c:layout>
                <c:manualLayout>
                  <c:x val="-2.4373712286978325E-2"/>
                  <c:y val="9.581529783749222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8E0-4EA3-A1A1-0BE6CCB12C51}"/>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'Tabl. 4 Powierzchnia zasiewów'!$M$5:$M$8</c:f>
              <c:numCache>
                <c:formatCode>General</c:formatCode>
                <c:ptCount val="4"/>
                <c:pt idx="0">
                  <c:v>2010</c:v>
                </c:pt>
                <c:pt idx="1">
                  <c:v>2013</c:v>
                </c:pt>
                <c:pt idx="2">
                  <c:v>2016</c:v>
                </c:pt>
                <c:pt idx="3">
                  <c:v>2020</c:v>
                </c:pt>
              </c:numCache>
            </c:numRef>
          </c:cat>
          <c:val>
            <c:numRef>
              <c:f>'Tabl. 4 Powierzchnia zasiewów'!$P$5:$P$8</c:f>
              <c:numCache>
                <c:formatCode>0</c:formatCode>
                <c:ptCount val="4"/>
                <c:pt idx="0">
                  <c:v>375</c:v>
                </c:pt>
                <c:pt idx="1">
                  <c:v>337</c:v>
                </c:pt>
                <c:pt idx="2">
                  <c:v>301</c:v>
                </c:pt>
                <c:pt idx="3">
                  <c:v>225</c:v>
                </c:pt>
              </c:numCache>
            </c:numRef>
          </c:val>
          <c:extLst>
            <c:ext xmlns:c16="http://schemas.microsoft.com/office/drawing/2014/chart" uri="{C3380CC4-5D6E-409C-BE32-E72D297353CC}">
              <c16:uniqueId val="{00000005-A8E0-4EA3-A1A1-0BE6CCB12C51}"/>
            </c:ext>
          </c:extLst>
        </c:ser>
        <c:ser>
          <c:idx val="3"/>
          <c:order val="3"/>
          <c:tx>
            <c:strRef>
              <c:f>'Tabl. 4 Powierzchnia zasiewów'!$Q$4</c:f>
              <c:strCache>
                <c:ptCount val="1"/>
                <c:pt idx="0">
                  <c:v>buraki cukrowe</c:v>
                </c:pt>
              </c:strCache>
            </c:strRef>
          </c:tx>
          <c:spPr>
            <a:solidFill>
              <a:srgbClr val="70AD47">
                <a:lumMod val="60000"/>
                <a:lumOff val="40000"/>
              </a:srgbClr>
            </a:solidFill>
            <a:ln>
              <a:noFill/>
            </a:ln>
            <a:effectLst/>
          </c:spPr>
          <c:invertIfNegative val="0"/>
          <c:dLbls>
            <c:dLbl>
              <c:idx val="0"/>
              <c:layout>
                <c:manualLayout>
                  <c:x val="2.3146392007794066E-2"/>
                  <c:y val="-9.9619349583526751E-2"/>
                </c:manualLayout>
              </c:layout>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dLblPos val="ctr"/>
              <c:showLegendKey val="0"/>
              <c:showVal val="1"/>
              <c:showCatName val="0"/>
              <c:showSerName val="0"/>
              <c:showPercent val="0"/>
              <c:showBubbleSize val="0"/>
              <c:extLst>
                <c:ext xmlns:c15="http://schemas.microsoft.com/office/drawing/2012/chart" uri="{CE6537A1-D6FC-4f65-9D91-7224C49458BB}">
                  <c15:layout>
                    <c:manualLayout>
                      <c:w val="4.7388438133874229E-2"/>
                      <c:h val="5.6062291434927698E-2"/>
                    </c:manualLayout>
                  </c15:layout>
                </c:ext>
                <c:ext xmlns:c16="http://schemas.microsoft.com/office/drawing/2014/chart" uri="{C3380CC4-5D6E-409C-BE32-E72D297353CC}">
                  <c16:uniqueId val="{00000006-A8E0-4EA3-A1A1-0BE6CCB12C51}"/>
                </c:ext>
              </c:extLst>
            </c:dLbl>
            <c:dLbl>
              <c:idx val="1"/>
              <c:layout>
                <c:manualLayout>
                  <c:x val="2.0610994873105366E-2"/>
                  <c:y val="-9.072057316528425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8E0-4EA3-A1A1-0BE6CCB12C51}"/>
                </c:ext>
              </c:extLst>
            </c:dLbl>
            <c:dLbl>
              <c:idx val="2"/>
              <c:layout>
                <c:manualLayout>
                  <c:x val="2.5354869751321559E-2"/>
                  <c:y val="-9.6460634300578954E-2"/>
                </c:manualLayout>
              </c:layout>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dLblPos val="ctr"/>
              <c:showLegendKey val="0"/>
              <c:showVal val="1"/>
              <c:showCatName val="0"/>
              <c:showSerName val="0"/>
              <c:showPercent val="0"/>
              <c:showBubbleSize val="0"/>
              <c:extLst>
                <c:ext xmlns:c15="http://schemas.microsoft.com/office/drawing/2012/chart" uri="{CE6537A1-D6FC-4f65-9D91-7224C49458BB}">
                  <c15:layout>
                    <c:manualLayout>
                      <c:w val="4.6691276293303087E-2"/>
                      <c:h val="5.6062291434927698E-2"/>
                    </c:manualLayout>
                  </c15:layout>
                </c:ext>
                <c:ext xmlns:c16="http://schemas.microsoft.com/office/drawing/2014/chart" uri="{C3380CC4-5D6E-409C-BE32-E72D297353CC}">
                  <c16:uniqueId val="{00000008-A8E0-4EA3-A1A1-0BE6CCB12C51}"/>
                </c:ext>
              </c:extLst>
            </c:dLbl>
            <c:dLbl>
              <c:idx val="3"/>
              <c:layout>
                <c:manualLayout>
                  <c:x val="2.5681988787912575E-2"/>
                  <c:y val="-9.452462491131878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8E0-4EA3-A1A1-0BE6CCB12C51}"/>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'Tabl. 4 Powierzchnia zasiewów'!$M$5:$M$8</c:f>
              <c:numCache>
                <c:formatCode>General</c:formatCode>
                <c:ptCount val="4"/>
                <c:pt idx="0">
                  <c:v>2010</c:v>
                </c:pt>
                <c:pt idx="1">
                  <c:v>2013</c:v>
                </c:pt>
                <c:pt idx="2">
                  <c:v>2016</c:v>
                </c:pt>
                <c:pt idx="3">
                  <c:v>2020</c:v>
                </c:pt>
              </c:numCache>
            </c:numRef>
          </c:cat>
          <c:val>
            <c:numRef>
              <c:f>'Tabl. 4 Powierzchnia zasiewów'!$Q$5:$Q$8</c:f>
              <c:numCache>
                <c:formatCode>0</c:formatCode>
                <c:ptCount val="4"/>
                <c:pt idx="0">
                  <c:v>206</c:v>
                </c:pt>
                <c:pt idx="1">
                  <c:v>194</c:v>
                </c:pt>
                <c:pt idx="2">
                  <c:v>203</c:v>
                </c:pt>
                <c:pt idx="3">
                  <c:v>246</c:v>
                </c:pt>
              </c:numCache>
            </c:numRef>
          </c:val>
          <c:extLst>
            <c:ext xmlns:c16="http://schemas.microsoft.com/office/drawing/2014/chart" uri="{C3380CC4-5D6E-409C-BE32-E72D297353CC}">
              <c16:uniqueId val="{0000000A-A8E0-4EA3-A1A1-0BE6CCB12C51}"/>
            </c:ext>
          </c:extLst>
        </c:ser>
        <c:ser>
          <c:idx val="4"/>
          <c:order val="4"/>
          <c:tx>
            <c:strRef>
              <c:f>'Tabl. 4 Powierzchnia zasiewów'!$R$4</c:f>
              <c:strCache>
                <c:ptCount val="1"/>
                <c:pt idx="0">
                  <c:v>rzepak i rzepik</c:v>
                </c:pt>
              </c:strCache>
            </c:strRef>
          </c:tx>
          <c:spPr>
            <a:solidFill>
              <a:srgbClr val="70AD47">
                <a:lumMod val="40000"/>
                <a:lumOff val="60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'Tabl. 4 Powierzchnia zasiewów'!$M$5:$M$8</c:f>
              <c:numCache>
                <c:formatCode>General</c:formatCode>
                <c:ptCount val="4"/>
                <c:pt idx="0">
                  <c:v>2010</c:v>
                </c:pt>
                <c:pt idx="1">
                  <c:v>2013</c:v>
                </c:pt>
                <c:pt idx="2">
                  <c:v>2016</c:v>
                </c:pt>
                <c:pt idx="3">
                  <c:v>2020</c:v>
                </c:pt>
              </c:numCache>
            </c:numRef>
          </c:cat>
          <c:val>
            <c:numRef>
              <c:f>'Tabl. 4 Powierzchnia zasiewów'!$R$5:$R$8</c:f>
              <c:numCache>
                <c:formatCode>0</c:formatCode>
                <c:ptCount val="4"/>
                <c:pt idx="0">
                  <c:v>945</c:v>
                </c:pt>
                <c:pt idx="1">
                  <c:v>921</c:v>
                </c:pt>
                <c:pt idx="2">
                  <c:v>823</c:v>
                </c:pt>
                <c:pt idx="3">
                  <c:v>977</c:v>
                </c:pt>
              </c:numCache>
            </c:numRef>
          </c:val>
          <c:extLst>
            <c:ext xmlns:c16="http://schemas.microsoft.com/office/drawing/2014/chart" uri="{C3380CC4-5D6E-409C-BE32-E72D297353CC}">
              <c16:uniqueId val="{0000000B-A8E0-4EA3-A1A1-0BE6CCB12C51}"/>
            </c:ext>
          </c:extLst>
        </c:ser>
        <c:ser>
          <c:idx val="5"/>
          <c:order val="5"/>
          <c:tx>
            <c:strRef>
              <c:f>'Tabl. 4 Powierzchnia zasiewów'!$S$4</c:f>
              <c:strCache>
                <c:ptCount val="1"/>
                <c:pt idx="0">
                  <c:v>warzywa gruntowe</c:v>
                </c:pt>
              </c:strCache>
            </c:strRef>
          </c:tx>
          <c:spPr>
            <a:solidFill>
              <a:sysClr val="window" lastClr="FFFFFF">
                <a:lumMod val="65000"/>
              </a:sysClr>
            </a:solidFill>
            <a:ln>
              <a:noFill/>
            </a:ln>
            <a:effectLst>
              <a:outerShdw blurRad="50800" dist="50800" dir="5400000" algn="ctr" rotWithShape="0">
                <a:sysClr val="window" lastClr="FFFFFF"/>
              </a:outerShdw>
            </a:effectLst>
          </c:spPr>
          <c:invertIfNegative val="0"/>
          <c:dLbls>
            <c:dLbl>
              <c:idx val="0"/>
              <c:layout>
                <c:manualLayout>
                  <c:x val="4.3922393828560294E-2"/>
                  <c:y val="-8.1571174850050235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A8E0-4EA3-A1A1-0BE6CCB12C51}"/>
                </c:ext>
              </c:extLst>
            </c:dLbl>
            <c:dLbl>
              <c:idx val="1"/>
              <c:layout>
                <c:manualLayout>
                  <c:x val="4.8012130456309407E-2"/>
                  <c:y val="-8.1571174850050235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8E0-4EA3-A1A1-0BE6CCB12C51}"/>
                </c:ext>
              </c:extLst>
            </c:dLbl>
            <c:dLbl>
              <c:idx val="2"/>
              <c:layout>
                <c:manualLayout>
                  <c:x val="5.2101867084058714E-2"/>
                  <c:y val="-4.0785587425025118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A8E0-4EA3-A1A1-0BE6CCB12C51}"/>
                </c:ext>
              </c:extLst>
            </c:dLbl>
            <c:dLbl>
              <c:idx val="3"/>
              <c:layout>
                <c:manualLayout>
                  <c:x val="4.4822595071153631E-2"/>
                  <c:y val="0"/>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4.4903651115618663E-2"/>
                      <c:h val="5.6062291434927698E-2"/>
                    </c:manualLayout>
                  </c15:layout>
                </c:ext>
                <c:ext xmlns:c16="http://schemas.microsoft.com/office/drawing/2014/chart" uri="{C3380CC4-5D6E-409C-BE32-E72D297353CC}">
                  <c16:uniqueId val="{0000000F-A8E0-4EA3-A1A1-0BE6CCB12C51}"/>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'Tabl. 4 Powierzchnia zasiewów'!$M$5:$M$8</c:f>
              <c:numCache>
                <c:formatCode>General</c:formatCode>
                <c:ptCount val="4"/>
                <c:pt idx="0">
                  <c:v>2010</c:v>
                </c:pt>
                <c:pt idx="1">
                  <c:v>2013</c:v>
                </c:pt>
                <c:pt idx="2">
                  <c:v>2016</c:v>
                </c:pt>
                <c:pt idx="3">
                  <c:v>2020</c:v>
                </c:pt>
              </c:numCache>
            </c:numRef>
          </c:cat>
          <c:val>
            <c:numRef>
              <c:f>'Tabl. 4 Powierzchnia zasiewów'!$S$5:$S$8</c:f>
              <c:numCache>
                <c:formatCode>0</c:formatCode>
                <c:ptCount val="4"/>
                <c:pt idx="0">
                  <c:v>138</c:v>
                </c:pt>
                <c:pt idx="1">
                  <c:v>128</c:v>
                </c:pt>
                <c:pt idx="2">
                  <c:v>190</c:v>
                </c:pt>
                <c:pt idx="3">
                  <c:v>143</c:v>
                </c:pt>
              </c:numCache>
            </c:numRef>
          </c:val>
          <c:extLst>
            <c:ext xmlns:c16="http://schemas.microsoft.com/office/drawing/2014/chart" uri="{C3380CC4-5D6E-409C-BE32-E72D297353CC}">
              <c16:uniqueId val="{00000010-A8E0-4EA3-A1A1-0BE6CCB12C51}"/>
            </c:ext>
          </c:extLst>
        </c:ser>
        <c:dLbls>
          <c:dLblPos val="ctr"/>
          <c:showLegendKey val="0"/>
          <c:showVal val="1"/>
          <c:showCatName val="0"/>
          <c:showSerName val="0"/>
          <c:showPercent val="0"/>
          <c:showBubbleSize val="0"/>
        </c:dLbls>
        <c:gapWidth val="92"/>
        <c:overlap val="100"/>
        <c:axId val="-475233008"/>
        <c:axId val="-475231376"/>
        <c:extLst>
          <c:ext xmlns:c15="http://schemas.microsoft.com/office/drawing/2012/chart" uri="{02D57815-91ED-43cb-92C2-25804820EDAC}">
            <c15:filteredBarSeries>
              <c15:ser>
                <c:idx val="0"/>
                <c:order val="0"/>
                <c:tx>
                  <c:strRef>
                    <c:extLst>
                      <c:ext uri="{02D57815-91ED-43cb-92C2-25804820EDAC}">
                        <c15:formulaRef>
                          <c15:sqref>'Tabl. 4 Powierzchnia zasiewów'!$N$4</c15:sqref>
                        </c15:formulaRef>
                      </c:ext>
                    </c:extLst>
                    <c:strCache>
                      <c:ptCount val="1"/>
                      <c:pt idx="0">
                        <c:v>Powierzchnia zasiewów</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c:ext uri="{02D57815-91ED-43cb-92C2-25804820EDAC}">
                        <c15:formulaRef>
                          <c15:sqref>'Tabl. 4 Powierzchnia zasiewów'!$M$5:$M$8</c15:sqref>
                        </c15:formulaRef>
                      </c:ext>
                    </c:extLst>
                    <c:numCache>
                      <c:formatCode>General</c:formatCode>
                      <c:ptCount val="4"/>
                      <c:pt idx="0">
                        <c:v>2010</c:v>
                      </c:pt>
                      <c:pt idx="1">
                        <c:v>2013</c:v>
                      </c:pt>
                      <c:pt idx="2">
                        <c:v>2016</c:v>
                      </c:pt>
                      <c:pt idx="3">
                        <c:v>2020</c:v>
                      </c:pt>
                    </c:numCache>
                  </c:numRef>
                </c:cat>
                <c:val>
                  <c:numRef>
                    <c:extLst>
                      <c:ext uri="{02D57815-91ED-43cb-92C2-25804820EDAC}">
                        <c15:formulaRef>
                          <c15:sqref>'Tabl. 4 Powierzchnia zasiewów'!$N$5:$N$8</c15:sqref>
                        </c15:formulaRef>
                      </c:ext>
                    </c:extLst>
                    <c:numCache>
                      <c:formatCode>0.0</c:formatCode>
                      <c:ptCount val="4"/>
                      <c:pt idx="0">
                        <c:v>10365.9</c:v>
                      </c:pt>
                      <c:pt idx="1">
                        <c:v>10313</c:v>
                      </c:pt>
                      <c:pt idx="2">
                        <c:v>10640</c:v>
                      </c:pt>
                      <c:pt idx="3">
                        <c:v>10707.3</c:v>
                      </c:pt>
                    </c:numCache>
                  </c:numRef>
                </c:val>
                <c:extLst>
                  <c:ext xmlns:c16="http://schemas.microsoft.com/office/drawing/2014/chart" uri="{C3380CC4-5D6E-409C-BE32-E72D297353CC}">
                    <c16:uniqueId val="{00000011-A8E0-4EA3-A1A1-0BE6CCB12C51}"/>
                  </c:ext>
                </c:extLst>
              </c15:ser>
            </c15:filteredBarSeries>
          </c:ext>
        </c:extLst>
      </c:barChart>
      <c:catAx>
        <c:axId val="-475233008"/>
        <c:scaling>
          <c:orientation val="minMax"/>
        </c:scaling>
        <c:delete val="0"/>
        <c:axPos val="l"/>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chemeClr val="tx1"/>
                </a:solidFill>
                <a:latin typeface="Fira Sans" panose="020B0503050000020004" pitchFamily="34" charset="0"/>
                <a:ea typeface="Fira Sans" panose="020B0503050000020004" pitchFamily="34" charset="0"/>
                <a:cs typeface="+mn-cs"/>
              </a:defRPr>
            </a:pPr>
            <a:endParaRPr lang="pl-PL"/>
          </a:p>
        </c:txPr>
        <c:crossAx val="-475231376"/>
        <c:crosses val="autoZero"/>
        <c:auto val="1"/>
        <c:lblAlgn val="ctr"/>
        <c:lblOffset val="100"/>
        <c:noMultiLvlLbl val="0"/>
      </c:catAx>
      <c:valAx>
        <c:axId val="-475231376"/>
        <c:scaling>
          <c:orientation val="minMax"/>
        </c:scaling>
        <c:delete val="1"/>
        <c:axPos val="b"/>
        <c:numFmt formatCode="0" sourceLinked="0"/>
        <c:majorTickMark val="none"/>
        <c:minorTickMark val="none"/>
        <c:tickLblPos val="nextTo"/>
        <c:crossAx val="-475233008"/>
        <c:crosses val="autoZero"/>
        <c:crossBetween val="between"/>
      </c:valAx>
      <c:spPr>
        <a:noFill/>
        <a:ln>
          <a:noFill/>
        </a:ln>
        <a:effectLst/>
      </c:spPr>
    </c:plotArea>
    <c:legend>
      <c:legendPos val="b"/>
      <c:layout>
        <c:manualLayout>
          <c:xMode val="edge"/>
          <c:yMode val="edge"/>
          <c:x val="4.8739638402197701E-2"/>
          <c:y val="0.87819957433018314"/>
          <c:w val="0.90248386289021199"/>
          <c:h val="8.7854083539587832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3041907621232379E-2"/>
          <c:y val="0.1164876288389209"/>
          <c:w val="0.91743857055148503"/>
          <c:h val="0.73498533985462255"/>
        </c:manualLayout>
      </c:layout>
      <c:barChart>
        <c:barDir val="col"/>
        <c:grouping val="clustered"/>
        <c:varyColors val="0"/>
        <c:ser>
          <c:idx val="0"/>
          <c:order val="0"/>
          <c:tx>
            <c:strRef>
              <c:f>'Tabl. 5 Zwierzęta gospodars '!$Q$1</c:f>
              <c:strCache>
                <c:ptCount val="1"/>
                <c:pt idx="0">
                  <c:v>bydło</c:v>
                </c:pt>
              </c:strCache>
            </c:strRef>
          </c:tx>
          <c:spPr>
            <a:solidFill>
              <a:srgbClr val="008542"/>
            </a:solidFill>
            <a:ln>
              <a:noFill/>
            </a:ln>
            <a:effectLst/>
          </c:spPr>
          <c:invertIfNegative val="0"/>
          <c:trendline>
            <c:spPr>
              <a:ln w="19050" cap="rnd">
                <a:solidFill>
                  <a:srgbClr val="008542"/>
                </a:solidFill>
                <a:prstDash val="sysDash"/>
              </a:ln>
              <a:effectLst/>
            </c:spPr>
            <c:trendlineType val="linear"/>
            <c:dispRSqr val="0"/>
            <c:dispEq val="0"/>
          </c:trendline>
          <c:cat>
            <c:strRef>
              <c:f>'Tabl. 5 Zwierzęta gospodars '!$P$2:$P$5</c:f>
              <c:strCache>
                <c:ptCount val="4"/>
                <c:pt idx="0">
                  <c:v>2010 </c:v>
                </c:pt>
                <c:pt idx="1">
                  <c:v>2013 </c:v>
                </c:pt>
                <c:pt idx="2">
                  <c:v>2016 </c:v>
                </c:pt>
                <c:pt idx="3">
                  <c:v>2020 </c:v>
                </c:pt>
              </c:strCache>
            </c:strRef>
          </c:cat>
          <c:val>
            <c:numRef>
              <c:f>'Tabl. 5 Zwierzęta gospodars '!$Q$2:$Q$5</c:f>
              <c:numCache>
                <c:formatCode>General</c:formatCode>
                <c:ptCount val="4"/>
                <c:pt idx="0">
                  <c:v>5742.1</c:v>
                </c:pt>
                <c:pt idx="1">
                  <c:v>5889.7</c:v>
                </c:pt>
                <c:pt idx="2">
                  <c:v>5951.3</c:v>
                </c:pt>
                <c:pt idx="3">
                  <c:v>6298.6</c:v>
                </c:pt>
              </c:numCache>
            </c:numRef>
          </c:val>
          <c:extLst>
            <c:ext xmlns:c16="http://schemas.microsoft.com/office/drawing/2014/chart" uri="{C3380CC4-5D6E-409C-BE32-E72D297353CC}">
              <c16:uniqueId val="{00000001-7771-4AE4-8F97-040C82D785B5}"/>
            </c:ext>
          </c:extLst>
        </c:ser>
        <c:ser>
          <c:idx val="1"/>
          <c:order val="1"/>
          <c:tx>
            <c:strRef>
              <c:f>'Tabl. 5 Zwierzęta gospodars '!$R$1</c:f>
              <c:strCache>
                <c:ptCount val="1"/>
                <c:pt idx="0">
                  <c:v>świnie</c:v>
                </c:pt>
              </c:strCache>
            </c:strRef>
          </c:tx>
          <c:spPr>
            <a:solidFill>
              <a:srgbClr val="70AD47">
                <a:lumMod val="60000"/>
                <a:lumOff val="40000"/>
              </a:srgbClr>
            </a:solidFill>
            <a:ln>
              <a:noFill/>
            </a:ln>
            <a:effectLst/>
          </c:spPr>
          <c:invertIfNegative val="0"/>
          <c:trendline>
            <c:spPr>
              <a:ln w="19050" cap="rnd">
                <a:solidFill>
                  <a:srgbClr val="70AD47">
                    <a:lumMod val="60000"/>
                    <a:lumOff val="40000"/>
                  </a:srgbClr>
                </a:solidFill>
                <a:prstDash val="sysDash"/>
              </a:ln>
              <a:effectLst/>
            </c:spPr>
            <c:trendlineType val="linear"/>
            <c:dispRSqr val="0"/>
            <c:dispEq val="0"/>
          </c:trendline>
          <c:cat>
            <c:strRef>
              <c:f>'Tabl. 5 Zwierzęta gospodars '!$P$2:$P$5</c:f>
              <c:strCache>
                <c:ptCount val="4"/>
                <c:pt idx="0">
                  <c:v>2010 </c:v>
                </c:pt>
                <c:pt idx="1">
                  <c:v>2013 </c:v>
                </c:pt>
                <c:pt idx="2">
                  <c:v>2016 </c:v>
                </c:pt>
                <c:pt idx="3">
                  <c:v>2020 </c:v>
                </c:pt>
              </c:strCache>
            </c:strRef>
          </c:cat>
          <c:val>
            <c:numRef>
              <c:f>'Tabl. 5 Zwierzęta gospodars '!$R$2:$R$5</c:f>
              <c:numCache>
                <c:formatCode>General</c:formatCode>
                <c:ptCount val="4"/>
                <c:pt idx="0">
                  <c:v>15244.4</c:v>
                </c:pt>
                <c:pt idx="1">
                  <c:v>11401.8</c:v>
                </c:pt>
                <c:pt idx="2">
                  <c:v>10982.8</c:v>
                </c:pt>
                <c:pt idx="3">
                  <c:v>11203.1</c:v>
                </c:pt>
              </c:numCache>
            </c:numRef>
          </c:val>
          <c:extLst>
            <c:ext xmlns:c16="http://schemas.microsoft.com/office/drawing/2014/chart" uri="{C3380CC4-5D6E-409C-BE32-E72D297353CC}">
              <c16:uniqueId val="{00000003-7771-4AE4-8F97-040C82D785B5}"/>
            </c:ext>
          </c:extLst>
        </c:ser>
        <c:dLbls>
          <c:showLegendKey val="0"/>
          <c:showVal val="0"/>
          <c:showCatName val="0"/>
          <c:showSerName val="0"/>
          <c:showPercent val="0"/>
          <c:showBubbleSize val="0"/>
        </c:dLbls>
        <c:gapWidth val="219"/>
        <c:overlap val="-27"/>
        <c:axId val="-475232464"/>
        <c:axId val="-475230832"/>
      </c:barChart>
      <c:catAx>
        <c:axId val="-475232464"/>
        <c:scaling>
          <c:orientation val="minMax"/>
        </c:scaling>
        <c:delete val="0"/>
        <c:axPos val="b"/>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475230832"/>
        <c:crosses val="autoZero"/>
        <c:auto val="1"/>
        <c:lblAlgn val="ctr"/>
        <c:lblOffset val="100"/>
        <c:noMultiLvlLbl val="0"/>
      </c:catAx>
      <c:valAx>
        <c:axId val="-475230832"/>
        <c:scaling>
          <c:orientation val="minMax"/>
        </c:scaling>
        <c:delete val="0"/>
        <c:axPos val="l"/>
        <c:majorGridlines>
          <c:spPr>
            <a:ln w="9525" cap="flat" cmpd="sng" algn="ctr">
              <a:solidFill>
                <a:sysClr val="window" lastClr="FFFFFF">
                  <a:lumMod val="75000"/>
                </a:sys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475232464"/>
        <c:crosses val="autoZero"/>
        <c:crossBetween val="between"/>
      </c:valAx>
      <c:spPr>
        <a:noFill/>
        <a:ln>
          <a:noFill/>
        </a:ln>
        <a:effectLst/>
      </c:spPr>
    </c:plotArea>
    <c:legend>
      <c:legendPos val="b"/>
      <c:layout>
        <c:manualLayout>
          <c:xMode val="edge"/>
          <c:yMode val="edge"/>
          <c:x val="0.11623109216219672"/>
          <c:y val="0.94006989546713948"/>
          <c:w val="0.66140493075203355"/>
          <c:h val="5.8995211770039122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6909602551075689E-2"/>
          <c:y val="5.0781440338390882E-2"/>
          <c:w val="0.88134511263444248"/>
          <c:h val="0.73124520725231923"/>
        </c:manualLayout>
      </c:layout>
      <c:scatterChart>
        <c:scatterStyle val="lineMarker"/>
        <c:varyColors val="0"/>
        <c:ser>
          <c:idx val="0"/>
          <c:order val="0"/>
          <c:tx>
            <c:strRef>
              <c:f>'Tabl. 5 Zwierzęta gospodars '!$J$3</c:f>
              <c:strCache>
                <c:ptCount val="1"/>
                <c:pt idx="0">
                  <c:v>bydło</c:v>
                </c:pt>
              </c:strCache>
            </c:strRef>
          </c:tx>
          <c:spPr>
            <a:ln w="38100" cap="rnd">
              <a:solidFill>
                <a:srgbClr val="008542"/>
              </a:solidFill>
              <a:round/>
            </a:ln>
            <a:effectLst/>
          </c:spPr>
          <c:marker>
            <c:symbol val="square"/>
            <c:size val="8"/>
            <c:spPr>
              <a:solidFill>
                <a:srgbClr val="008542"/>
              </a:solidFill>
              <a:ln w="9525">
                <a:solidFill>
                  <a:srgbClr val="008542"/>
                </a:solidFill>
              </a:ln>
              <a:effectLst/>
            </c:spPr>
          </c:marker>
          <c:dLbls>
            <c:spPr>
              <a:solidFill>
                <a:schemeClr val="bg1"/>
              </a:solid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'Tabl. 5 Zwierzęta gospodars '!$I$4:$I$7</c:f>
              <c:numCache>
                <c:formatCode>General</c:formatCode>
                <c:ptCount val="4"/>
                <c:pt idx="0">
                  <c:v>2010</c:v>
                </c:pt>
                <c:pt idx="1">
                  <c:v>2013</c:v>
                </c:pt>
                <c:pt idx="2">
                  <c:v>2016</c:v>
                </c:pt>
                <c:pt idx="3">
                  <c:v>2020</c:v>
                </c:pt>
              </c:numCache>
            </c:numRef>
          </c:xVal>
          <c:yVal>
            <c:numRef>
              <c:f>'Tabl. 5 Zwierzęta gospodars '!$J$4:$J$7</c:f>
              <c:numCache>
                <c:formatCode>0</c:formatCode>
                <c:ptCount val="4"/>
                <c:pt idx="0">
                  <c:v>39</c:v>
                </c:pt>
                <c:pt idx="1">
                  <c:v>40</c:v>
                </c:pt>
                <c:pt idx="2">
                  <c:v>41</c:v>
                </c:pt>
                <c:pt idx="3">
                  <c:v>43</c:v>
                </c:pt>
              </c:numCache>
            </c:numRef>
          </c:yVal>
          <c:smooth val="0"/>
          <c:extLst>
            <c:ext xmlns:c16="http://schemas.microsoft.com/office/drawing/2014/chart" uri="{C3380CC4-5D6E-409C-BE32-E72D297353CC}">
              <c16:uniqueId val="{00000000-5488-4C1D-BE56-D945A26708E8}"/>
            </c:ext>
          </c:extLst>
        </c:ser>
        <c:ser>
          <c:idx val="1"/>
          <c:order val="1"/>
          <c:tx>
            <c:strRef>
              <c:f>'Tabl. 5 Zwierzęta gospodars '!$K$3</c:f>
              <c:strCache>
                <c:ptCount val="1"/>
                <c:pt idx="0">
                  <c:v>świnie</c:v>
                </c:pt>
              </c:strCache>
            </c:strRef>
          </c:tx>
          <c:spPr>
            <a:ln w="38100" cap="rnd">
              <a:solidFill>
                <a:schemeClr val="accent6">
                  <a:lumMod val="60000"/>
                  <a:lumOff val="40000"/>
                </a:schemeClr>
              </a:solidFill>
              <a:prstDash val="sysDash"/>
              <a:round/>
            </a:ln>
            <a:effectLst/>
          </c:spPr>
          <c:marker>
            <c:symbol val="square"/>
            <c:size val="8"/>
            <c:spPr>
              <a:solidFill>
                <a:schemeClr val="accent6">
                  <a:lumMod val="60000"/>
                  <a:lumOff val="40000"/>
                </a:schemeClr>
              </a:solidFill>
              <a:ln w="9525">
                <a:solidFill>
                  <a:schemeClr val="accent6">
                    <a:lumMod val="60000"/>
                    <a:lumOff val="4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'Tabl. 5 Zwierzęta gospodars '!$I$4:$I$7</c:f>
              <c:numCache>
                <c:formatCode>General</c:formatCode>
                <c:ptCount val="4"/>
                <c:pt idx="0">
                  <c:v>2010</c:v>
                </c:pt>
                <c:pt idx="1">
                  <c:v>2013</c:v>
                </c:pt>
                <c:pt idx="2">
                  <c:v>2016</c:v>
                </c:pt>
                <c:pt idx="3">
                  <c:v>2020</c:v>
                </c:pt>
              </c:numCache>
            </c:numRef>
          </c:xVal>
          <c:yVal>
            <c:numRef>
              <c:f>'Tabl. 5 Zwierzęta gospodars '!$K$4:$K$7</c:f>
              <c:numCache>
                <c:formatCode>0</c:formatCode>
                <c:ptCount val="4"/>
                <c:pt idx="0">
                  <c:v>103</c:v>
                </c:pt>
                <c:pt idx="1">
                  <c:v>78</c:v>
                </c:pt>
                <c:pt idx="2">
                  <c:v>76</c:v>
                </c:pt>
                <c:pt idx="3">
                  <c:v>77</c:v>
                </c:pt>
              </c:numCache>
            </c:numRef>
          </c:yVal>
          <c:smooth val="0"/>
          <c:extLst>
            <c:ext xmlns:c16="http://schemas.microsoft.com/office/drawing/2014/chart" uri="{C3380CC4-5D6E-409C-BE32-E72D297353CC}">
              <c16:uniqueId val="{00000001-5488-4C1D-BE56-D945A26708E8}"/>
            </c:ext>
          </c:extLst>
        </c:ser>
        <c:dLbls>
          <c:dLblPos val="t"/>
          <c:showLegendKey val="0"/>
          <c:showVal val="1"/>
          <c:showCatName val="0"/>
          <c:showSerName val="0"/>
          <c:showPercent val="0"/>
          <c:showBubbleSize val="0"/>
        </c:dLbls>
        <c:axId val="-475227568"/>
        <c:axId val="-475229744"/>
      </c:scatterChart>
      <c:valAx>
        <c:axId val="-475227568"/>
        <c:scaling>
          <c:orientation val="minMax"/>
          <c:max val="2020"/>
          <c:min val="2010"/>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475229744"/>
        <c:crosses val="autoZero"/>
        <c:crossBetween val="midCat"/>
      </c:valAx>
      <c:valAx>
        <c:axId val="-475229744"/>
        <c:scaling>
          <c:orientation val="minMax"/>
        </c:scaling>
        <c:delete val="1"/>
        <c:axPos val="l"/>
        <c:numFmt formatCode="0" sourceLinked="1"/>
        <c:majorTickMark val="none"/>
        <c:minorTickMark val="none"/>
        <c:tickLblPos val="nextTo"/>
        <c:crossAx val="-475227568"/>
        <c:crosses val="autoZero"/>
        <c:crossBetween val="midCat"/>
      </c:valAx>
      <c:spPr>
        <a:noFill/>
        <a:ln>
          <a:noFill/>
        </a:ln>
        <a:effectLst/>
      </c:spPr>
    </c:plotArea>
    <c:legend>
      <c:legendPos val="b"/>
      <c:layout>
        <c:manualLayout>
          <c:xMode val="edge"/>
          <c:yMode val="edge"/>
          <c:x val="0.23679850543040618"/>
          <c:y val="0.87848650255123639"/>
          <c:w val="0.53943173308322612"/>
          <c:h val="6.373982289041065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944968331054426"/>
          <c:y val="9.2488520751228459E-2"/>
          <c:w val="0.74221458657488171"/>
          <c:h val="0.67242387297210671"/>
        </c:manualLayout>
      </c:layout>
      <c:barChart>
        <c:barDir val="bar"/>
        <c:grouping val="clustered"/>
        <c:varyColors val="0"/>
        <c:ser>
          <c:idx val="0"/>
          <c:order val="0"/>
          <c:tx>
            <c:strRef>
              <c:f>'Tabl. 6 Ciągniki i maszyny'!$I$6</c:f>
              <c:strCache>
                <c:ptCount val="1"/>
                <c:pt idx="0">
                  <c:v>2020</c:v>
                </c:pt>
              </c:strCache>
            </c:strRef>
          </c:tx>
          <c:spPr>
            <a:solidFill>
              <a:srgbClr val="70AD47">
                <a:lumMod val="40000"/>
                <a:lumOff val="60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 6 Ciągniki i maszyny'!$J$5:$L$5</c:f>
              <c:strCache>
                <c:ptCount val="3"/>
                <c:pt idx="0">
                  <c:v>kombajny zbożowe</c:v>
                </c:pt>
                <c:pt idx="1">
                  <c:v>opryskiwacze</c:v>
                </c:pt>
                <c:pt idx="2">
                  <c:v>ciągniki</c:v>
                </c:pt>
              </c:strCache>
            </c:strRef>
          </c:cat>
          <c:val>
            <c:numRef>
              <c:f>'Tabl. 6 Ciągniki i maszyny'!$J$6:$L$6</c:f>
              <c:numCache>
                <c:formatCode>General</c:formatCode>
                <c:ptCount val="3"/>
                <c:pt idx="0">
                  <c:v>167</c:v>
                </c:pt>
                <c:pt idx="1">
                  <c:v>513</c:v>
                </c:pt>
                <c:pt idx="2" formatCode="#,##0">
                  <c:v>1444</c:v>
                </c:pt>
              </c:numCache>
            </c:numRef>
          </c:val>
          <c:extLst>
            <c:ext xmlns:c16="http://schemas.microsoft.com/office/drawing/2014/chart" uri="{C3380CC4-5D6E-409C-BE32-E72D297353CC}">
              <c16:uniqueId val="{00000000-BA92-4D23-8902-76ECF4693DAE}"/>
            </c:ext>
          </c:extLst>
        </c:ser>
        <c:ser>
          <c:idx val="1"/>
          <c:order val="1"/>
          <c:tx>
            <c:strRef>
              <c:f>'Tabl. 6 Ciągniki i maszyny'!$I$7</c:f>
              <c:strCache>
                <c:ptCount val="1"/>
                <c:pt idx="0">
                  <c:v>2013</c:v>
                </c:pt>
              </c:strCache>
            </c:strRef>
          </c:tx>
          <c:spPr>
            <a:solidFill>
              <a:srgbClr val="70AD4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 6 Ciągniki i maszyny'!$J$5:$L$5</c:f>
              <c:strCache>
                <c:ptCount val="3"/>
                <c:pt idx="0">
                  <c:v>kombajny zbożowe</c:v>
                </c:pt>
                <c:pt idx="1">
                  <c:v>opryskiwacze</c:v>
                </c:pt>
                <c:pt idx="2">
                  <c:v>ciągniki</c:v>
                </c:pt>
              </c:strCache>
            </c:strRef>
          </c:cat>
          <c:val>
            <c:numRef>
              <c:f>'Tabl. 6 Ciągniki i maszyny'!$J$7:$L$7</c:f>
              <c:numCache>
                <c:formatCode>General</c:formatCode>
                <c:ptCount val="3"/>
                <c:pt idx="0">
                  <c:v>164</c:v>
                </c:pt>
                <c:pt idx="1">
                  <c:v>530</c:v>
                </c:pt>
                <c:pt idx="2" formatCode="#,##0">
                  <c:v>1436</c:v>
                </c:pt>
              </c:numCache>
            </c:numRef>
          </c:val>
          <c:extLst>
            <c:ext xmlns:c16="http://schemas.microsoft.com/office/drawing/2014/chart" uri="{C3380CC4-5D6E-409C-BE32-E72D297353CC}">
              <c16:uniqueId val="{00000001-BA92-4D23-8902-76ECF4693DAE}"/>
            </c:ext>
          </c:extLst>
        </c:ser>
        <c:ser>
          <c:idx val="2"/>
          <c:order val="2"/>
          <c:tx>
            <c:strRef>
              <c:f>'Tabl. 6 Ciągniki i maszyny'!$I$8</c:f>
              <c:strCache>
                <c:ptCount val="1"/>
                <c:pt idx="0">
                  <c:v>2010</c:v>
                </c:pt>
              </c:strCache>
            </c:strRef>
          </c:tx>
          <c:spPr>
            <a:solidFill>
              <a:srgbClr val="00854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 6 Ciągniki i maszyny'!$J$5:$L$5</c:f>
              <c:strCache>
                <c:ptCount val="3"/>
                <c:pt idx="0">
                  <c:v>kombajny zbożowe</c:v>
                </c:pt>
                <c:pt idx="1">
                  <c:v>opryskiwacze</c:v>
                </c:pt>
                <c:pt idx="2">
                  <c:v>ciągniki</c:v>
                </c:pt>
              </c:strCache>
            </c:strRef>
          </c:cat>
          <c:val>
            <c:numRef>
              <c:f>'Tabl. 6 Ciągniki i maszyny'!$J$8:$L$8</c:f>
              <c:numCache>
                <c:formatCode>General</c:formatCode>
                <c:ptCount val="3"/>
                <c:pt idx="0">
                  <c:v>152</c:v>
                </c:pt>
                <c:pt idx="1">
                  <c:v>542</c:v>
                </c:pt>
                <c:pt idx="2" formatCode="#,##0">
                  <c:v>1418</c:v>
                </c:pt>
              </c:numCache>
            </c:numRef>
          </c:val>
          <c:extLst>
            <c:ext xmlns:c16="http://schemas.microsoft.com/office/drawing/2014/chart" uri="{C3380CC4-5D6E-409C-BE32-E72D297353CC}">
              <c16:uniqueId val="{00000002-BA92-4D23-8902-76ECF4693DAE}"/>
            </c:ext>
          </c:extLst>
        </c:ser>
        <c:dLbls>
          <c:dLblPos val="outEnd"/>
          <c:showLegendKey val="0"/>
          <c:showVal val="1"/>
          <c:showCatName val="0"/>
          <c:showSerName val="0"/>
          <c:showPercent val="0"/>
          <c:showBubbleSize val="0"/>
        </c:dLbls>
        <c:gapWidth val="68"/>
        <c:overlap val="-9"/>
        <c:axId val="-475230288"/>
        <c:axId val="-475229200"/>
      </c:barChart>
      <c:catAx>
        <c:axId val="-475230288"/>
        <c:scaling>
          <c:orientation val="minMax"/>
        </c:scaling>
        <c:delete val="0"/>
        <c:axPos val="l"/>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chemeClr val="tx1"/>
                </a:solidFill>
                <a:latin typeface="Fira Sans" panose="020B0503050000020004" pitchFamily="34" charset="0"/>
                <a:ea typeface="Fira Sans" panose="020B0503050000020004" pitchFamily="34" charset="0"/>
                <a:cs typeface="+mn-cs"/>
              </a:defRPr>
            </a:pPr>
            <a:endParaRPr lang="pl-PL"/>
          </a:p>
        </c:txPr>
        <c:crossAx val="-475229200"/>
        <c:crosses val="autoZero"/>
        <c:auto val="1"/>
        <c:lblAlgn val="ctr"/>
        <c:lblOffset val="100"/>
        <c:noMultiLvlLbl val="0"/>
      </c:catAx>
      <c:valAx>
        <c:axId val="-475229200"/>
        <c:scaling>
          <c:orientation val="minMax"/>
          <c:max val="1600"/>
          <c:min val="0"/>
        </c:scaling>
        <c:delete val="1"/>
        <c:axPos val="b"/>
        <c:numFmt formatCode="General" sourceLinked="1"/>
        <c:majorTickMark val="none"/>
        <c:minorTickMark val="none"/>
        <c:tickLblPos val="nextTo"/>
        <c:crossAx val="-475230288"/>
        <c:crosses val="autoZero"/>
        <c:crossBetween val="between"/>
        <c:majorUnit val="500"/>
        <c:minorUnit val="200"/>
      </c:valAx>
      <c:spPr>
        <a:noFill/>
        <a:ln>
          <a:noFill/>
        </a:ln>
        <a:effectLst/>
      </c:spPr>
    </c:plotArea>
    <c:legend>
      <c:legendPos val="b"/>
      <c:layout>
        <c:manualLayout>
          <c:xMode val="edge"/>
          <c:yMode val="edge"/>
          <c:x val="0.157480929477988"/>
          <c:y val="0.88964887614041588"/>
          <c:w val="0.74358042758908272"/>
          <c:h val="9.2388172889903752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0.51111</cdr:x>
      <cdr:y>0.89326</cdr:y>
    </cdr:from>
    <cdr:to>
      <cdr:x>0.57993</cdr:x>
      <cdr:y>0.958</cdr:y>
    </cdr:to>
    <cdr:sp macro="" textlink="">
      <cdr:nvSpPr>
        <cdr:cNvPr id="2" name="pole tekstowe 1"/>
        <cdr:cNvSpPr txBox="1"/>
      </cdr:nvSpPr>
      <cdr:spPr>
        <a:xfrm xmlns:a="http://schemas.openxmlformats.org/drawingml/2006/main">
          <a:off x="3395664" y="2759869"/>
          <a:ext cx="457200" cy="2000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pl-PL" sz="900">
            <a:latin typeface="Fira Sans" panose="020B0503050000020004" pitchFamily="34" charset="0"/>
            <a:ea typeface="Fira Sans" panose="020B0503050000020004"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0.47971</cdr:x>
      <cdr:y>0.89366</cdr:y>
    </cdr:from>
    <cdr:to>
      <cdr:x>0.56464</cdr:x>
      <cdr:y>0.96089</cdr:y>
    </cdr:to>
    <cdr:sp macro="" textlink="">
      <cdr:nvSpPr>
        <cdr:cNvPr id="2" name="pole tekstowe 1"/>
        <cdr:cNvSpPr txBox="1"/>
      </cdr:nvSpPr>
      <cdr:spPr>
        <a:xfrm xmlns:a="http://schemas.openxmlformats.org/drawingml/2006/main">
          <a:off x="2457334" y="2728430"/>
          <a:ext cx="435057" cy="2052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pl-PL" sz="800">
            <a:solidFill>
              <a:sysClr val="windowText" lastClr="000000"/>
            </a:solidFill>
            <a:latin typeface="Fira Sans" panose="020B0503050000020004" pitchFamily="34" charset="0"/>
            <a:ea typeface="Fira Sans" panose="020B0503050000020004" pitchFamily="34"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0.02578</cdr:x>
      <cdr:y>0.03474</cdr:y>
    </cdr:from>
    <cdr:to>
      <cdr:x>0.1531</cdr:x>
      <cdr:y>0.10227</cdr:y>
    </cdr:to>
    <cdr:sp macro="" textlink="">
      <cdr:nvSpPr>
        <cdr:cNvPr id="2" name="pole tekstowe 1"/>
        <cdr:cNvSpPr txBox="1"/>
      </cdr:nvSpPr>
      <cdr:spPr>
        <a:xfrm xmlns:a="http://schemas.openxmlformats.org/drawingml/2006/main">
          <a:off x="154781" y="116475"/>
          <a:ext cx="764299" cy="2264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pl-PL" sz="900">
            <a:latin typeface="Fira Sans" panose="020B0503050000020004" pitchFamily="34" charset="0"/>
            <a:ea typeface="Fira Sans" panose="020B0503050000020004" pitchFamily="34" charset="0"/>
          </a:endParaRPr>
        </a:p>
      </cdr:txBody>
    </cdr:sp>
  </cdr:relSizeAnchor>
</c:userShape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NazwaPliku xmlns="8C029B3F-2CC4-4A59-AF0D-A90575FA3373">Informacja o wstępnych wynikach Powszechnego Spisu Rolnego 2020.docx</NazwaPliku>
    <_SourceUrl xmlns="http://schemas.microsoft.com/sharepoint/v3" xsi:nil="true"/>
    <Odbiorcy2 xmlns="8C029B3F-2CC4-4A59-AF0D-A90575FA3373" xsi:nil="true"/>
    <xd_ProgID xmlns="http://schemas.microsoft.com/sharepoint/v3" xsi:nil="true"/>
    <Osoba xmlns="8C029B3F-2CC4-4A59-AF0D-A90575FA3373">STAT\RozkrutD</Osoba>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isma" ma:contentTypeID="0x003F9B028CC42C594AAF0DA90575FA3373" ma:contentTypeVersion="" ma:contentTypeDescription="" ma:contentTypeScope="" ma:versionID="a80ed856fbc5a997d44bfc997ced819f">
  <xsd:schema xmlns:xsd="http://www.w3.org/2001/XMLSchema" xmlns:xs="http://www.w3.org/2001/XMLSchema" xmlns:p="http://schemas.microsoft.com/office/2006/metadata/properties" xmlns:ns1="http://schemas.microsoft.com/sharepoint/v3" xmlns:ns2="8C029B3F-2CC4-4A59-AF0D-A90575FA3373" targetNamespace="http://schemas.microsoft.com/office/2006/metadata/properties" ma:root="true" ma:fieldsID="e61943d334749cc2f7f8fac3c3188088" ns1:_="" ns2:_="">
    <xsd:import namespace="http://schemas.microsoft.com/sharepoint/v3"/>
    <xsd:import namespace="8C029B3F-2CC4-4A59-AF0D-A90575FA337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029B3F-2CC4-4A59-AF0D-A90575FA3373"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7E9C3E-3CC5-40C0-A774-47B8E48CCF08}">
  <ds:schemaRefs>
    <ds:schemaRef ds:uri="http://schemas.microsoft.com/office/2006/metadata/properties"/>
    <ds:schemaRef ds:uri="http://schemas.microsoft.com/office/infopath/2007/PartnerControls"/>
    <ds:schemaRef ds:uri="http://schemas.microsoft.com/sharepoint/v3"/>
    <ds:schemaRef ds:uri="8C029B3F-2CC4-4A59-AF0D-A90575FA3373"/>
  </ds:schemaRefs>
</ds:datastoreItem>
</file>

<file path=customXml/itemProps2.xml><?xml version="1.0" encoding="utf-8"?>
<ds:datastoreItem xmlns:ds="http://schemas.openxmlformats.org/officeDocument/2006/customXml" ds:itemID="{3F64C03F-8049-4493-BFF8-42CAB823F50F}">
  <ds:schemaRefs>
    <ds:schemaRef ds:uri="http://schemas.openxmlformats.org/officeDocument/2006/bibliography"/>
  </ds:schemaRefs>
</ds:datastoreItem>
</file>

<file path=customXml/itemProps3.xml><?xml version="1.0" encoding="utf-8"?>
<ds:datastoreItem xmlns:ds="http://schemas.openxmlformats.org/officeDocument/2006/customXml" ds:itemID="{1D4E25BF-2B72-4A9B-9FFD-0AFDAEF4A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029B3F-2CC4-4A59-AF0D-A90575FA3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1332</Words>
  <Characters>7996</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Główny Urząd Statystyczny</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Informacja o wstępnych wynikach Powszechnego Spisu Rolnego 2020</dc:title>
  <dc:subject>Powszechny Spis Rolny 2020</dc:subject>
  <dc:creator>Główny Urząd Statystyczny</dc:creator>
  <cp:keywords>Powszechny Spis Rolny 2020</cp:keywords>
  <dc:description/>
  <cp:lastPrinted>2019-02-21T09:45:00Z</cp:lastPrinted>
  <dcterms:created xsi:type="dcterms:W3CDTF">2021-03-31T06:56:00Z</dcterms:created>
  <dcterms:modified xsi:type="dcterms:W3CDTF">2021-03-31T06:56:00Z</dcterms:modified>
  <cp:category>PSR; PSR 2020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GUS-DR01.6362.1.2021.2</vt:lpwstr>
  </property>
  <property fmtid="{D5CDD505-2E9C-101B-9397-08002B2CF9AE}" pid="4" name="UNPPisma">
    <vt:lpwstr>2021-80642</vt:lpwstr>
  </property>
  <property fmtid="{D5CDD505-2E9C-101B-9397-08002B2CF9AE}" pid="5" name="ZnakSprawy">
    <vt:lpwstr>GUS-DR01.6362.1.2021</vt:lpwstr>
  </property>
  <property fmtid="{D5CDD505-2E9C-101B-9397-08002B2CF9AE}" pid="6" name="ZnakSprawyPrzedPrzeniesieniem">
    <vt:lpwstr/>
  </property>
  <property fmtid="{D5CDD505-2E9C-101B-9397-08002B2CF9AE}" pid="7" name="Autor">
    <vt:lpwstr>Przypaśniak Jolanta</vt:lpwstr>
  </property>
  <property fmtid="{D5CDD505-2E9C-101B-9397-08002B2CF9AE}" pid="8" name="AutorInicjaly">
    <vt:lpwstr>JP</vt:lpwstr>
  </property>
  <property fmtid="{D5CDD505-2E9C-101B-9397-08002B2CF9AE}" pid="9" name="AutorNrTelefonu">
    <vt:lpwstr>(022) 608-3357</vt:lpwstr>
  </property>
  <property fmtid="{D5CDD505-2E9C-101B-9397-08002B2CF9AE}" pid="10" name="Stanowisko">
    <vt:lpwstr>główny specjalista</vt:lpwstr>
  </property>
  <property fmtid="{D5CDD505-2E9C-101B-9397-08002B2CF9AE}" pid="11" name="OpisPisma">
    <vt:lpwstr>Informacja o wstępnych wynikach Powszechnego Spisu Rolnego 2020</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2021-03-30</vt:lpwstr>
  </property>
  <property fmtid="{D5CDD505-2E9C-101B-9397-08002B2CF9AE}" pid="15" name="Wydzial">
    <vt:lpwstr>Wydział Produkcji Roślinnej i Zwierzęcej</vt:lpwstr>
  </property>
  <property fmtid="{D5CDD505-2E9C-101B-9397-08002B2CF9AE}" pid="16" name="KodWydzialu">
    <vt:lpwstr>DR-01</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